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C82FA" w14:textId="72F1F9DA" w:rsidR="007D66B0" w:rsidRPr="00C30872" w:rsidRDefault="001D5FCA" w:rsidP="00D01DC5">
      <w:pPr>
        <w:pStyle w:val="DocumentType"/>
        <w:rPr>
          <w:rFonts w:ascii="Calibri" w:hAnsi="Calibri" w:cs="Calibri"/>
          <w:lang w:val="pl-PL"/>
        </w:rPr>
      </w:pPr>
      <w:r w:rsidRPr="005776EE">
        <w:rPr>
          <w:rFonts w:ascii="Calibri" w:hAnsi="Calibri" w:cs="Calibri"/>
          <w:noProof/>
          <w:lang w:val="pl-PL" w:eastAsia="pl-PL"/>
        </w:rPr>
        <w:drawing>
          <wp:anchor distT="0" distB="12065" distL="114300" distR="123825" simplePos="0" relativeHeight="251658240" behindDoc="1" locked="0" layoutInCell="1" allowOverlap="1" wp14:anchorId="592131AD" wp14:editId="2E638EDB">
            <wp:simplePos x="0" y="0"/>
            <wp:positionH relativeFrom="page">
              <wp:posOffset>-3175</wp:posOffset>
            </wp:positionH>
            <wp:positionV relativeFrom="page">
              <wp:posOffset>0</wp:posOffset>
            </wp:positionV>
            <wp:extent cx="7560310" cy="2592070"/>
            <wp:effectExtent l="0" t="0" r="0" b="0"/>
            <wp:wrapNone/>
            <wp:docPr id="6"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erBriefPolicy_NoTitle_EN.svg"/>
                    <pic:cNvPicPr>
                      <a:picLocks/>
                    </pic:cNvPicPr>
                  </pic:nvPicPr>
                  <pic:blipFill>
                    <a:blip r:embed="rId11"/>
                    <a:stretch>
                      <a:fillRect/>
                    </a:stretch>
                  </pic:blipFill>
                  <pic:spPr>
                    <a:xfrm>
                      <a:off x="0" y="0"/>
                      <a:ext cx="7560310" cy="2592070"/>
                    </a:xfrm>
                    <a:prstGeom prst="rect">
                      <a:avLst/>
                    </a:prstGeom>
                  </pic:spPr>
                </pic:pic>
              </a:graphicData>
            </a:graphic>
            <wp14:sizeRelH relativeFrom="margin">
              <wp14:pctWidth>0</wp14:pctWidth>
            </wp14:sizeRelH>
            <wp14:sizeRelV relativeFrom="margin">
              <wp14:pctHeight>0</wp14:pctHeight>
            </wp14:sizeRelV>
          </wp:anchor>
        </w:drawing>
      </w:r>
      <w:r w:rsidR="00C63D20" w:rsidRPr="005776EE">
        <w:rPr>
          <w:rFonts w:ascii="Calibri" w:hAnsi="Calibri" w:cs="Calibri"/>
          <w:noProof/>
          <w:lang w:val="pl-PL" w:eastAsia="pl-PL"/>
        </w:rPr>
        <mc:AlternateContent>
          <mc:Choice Requires="wps">
            <w:drawing>
              <wp:anchor distT="0" distB="0" distL="114300" distR="114300" simplePos="0" relativeHeight="251658241" behindDoc="0" locked="0" layoutInCell="1" allowOverlap="1" wp14:anchorId="520DBF55" wp14:editId="24D58532">
                <wp:simplePos x="0" y="0"/>
                <wp:positionH relativeFrom="margin">
                  <wp:posOffset>4967785</wp:posOffset>
                </wp:positionH>
                <wp:positionV relativeFrom="paragraph">
                  <wp:posOffset>-1081677</wp:posOffset>
                </wp:positionV>
                <wp:extent cx="2052139" cy="244928"/>
                <wp:effectExtent l="0" t="0" r="5715" b="3175"/>
                <wp:wrapNone/>
                <wp:docPr id="2083045306"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139" cy="244928"/>
                        </a:xfrm>
                        <a:custGeom>
                          <a:avLst/>
                          <a:gdLst>
                            <a:gd name="connsiteX0" fmla="*/ 0 w 6480175"/>
                            <a:gd name="connsiteY0" fmla="*/ 0 h 309880"/>
                            <a:gd name="connsiteX1" fmla="*/ 6325235 w 6480175"/>
                            <a:gd name="connsiteY1" fmla="*/ 0 h 309880"/>
                            <a:gd name="connsiteX2" fmla="*/ 6480175 w 6480175"/>
                            <a:gd name="connsiteY2" fmla="*/ 154940 h 309880"/>
                            <a:gd name="connsiteX3" fmla="*/ 6480175 w 6480175"/>
                            <a:gd name="connsiteY3" fmla="*/ 309880 h 309880"/>
                            <a:gd name="connsiteX4" fmla="*/ 0 w 6480175"/>
                            <a:gd name="connsiteY4" fmla="*/ 309880 h 309880"/>
                            <a:gd name="connsiteX5" fmla="*/ 0 w 6480175"/>
                            <a:gd name="connsiteY5" fmla="*/ 0 h 309880"/>
                            <a:gd name="connsiteX0" fmla="*/ 0 w 6480175"/>
                            <a:gd name="connsiteY0" fmla="*/ 0 h 309880"/>
                            <a:gd name="connsiteX1" fmla="*/ 6325235 w 6480175"/>
                            <a:gd name="connsiteY1" fmla="*/ 0 h 309880"/>
                            <a:gd name="connsiteX2" fmla="*/ 6480175 w 6480175"/>
                            <a:gd name="connsiteY2" fmla="*/ 309880 h 309880"/>
                            <a:gd name="connsiteX3" fmla="*/ 6480175 w 6480175"/>
                            <a:gd name="connsiteY3" fmla="*/ 309880 h 309880"/>
                            <a:gd name="connsiteX4" fmla="*/ 0 w 6480175"/>
                            <a:gd name="connsiteY4" fmla="*/ 309880 h 309880"/>
                            <a:gd name="connsiteX5" fmla="*/ 0 w 6480175"/>
                            <a:gd name="connsiteY5" fmla="*/ 0 h 309880"/>
                            <a:gd name="connsiteX0" fmla="*/ 0 w 6480175"/>
                            <a:gd name="connsiteY0" fmla="*/ 0 h 309880"/>
                            <a:gd name="connsiteX1" fmla="*/ 6193155 w 6480175"/>
                            <a:gd name="connsiteY1" fmla="*/ 0 h 309880"/>
                            <a:gd name="connsiteX2" fmla="*/ 6480175 w 6480175"/>
                            <a:gd name="connsiteY2" fmla="*/ 309880 h 309880"/>
                            <a:gd name="connsiteX3" fmla="*/ 6480175 w 6480175"/>
                            <a:gd name="connsiteY3" fmla="*/ 309880 h 309880"/>
                            <a:gd name="connsiteX4" fmla="*/ 0 w 6480175"/>
                            <a:gd name="connsiteY4" fmla="*/ 309880 h 309880"/>
                            <a:gd name="connsiteX5" fmla="*/ 0 w 6480175"/>
                            <a:gd name="connsiteY5" fmla="*/ 0 h 309880"/>
                            <a:gd name="connsiteX0" fmla="*/ 0 w 6480175"/>
                            <a:gd name="connsiteY0" fmla="*/ 0 h 309880"/>
                            <a:gd name="connsiteX1" fmla="*/ 6243955 w 6480175"/>
                            <a:gd name="connsiteY1" fmla="*/ 0 h 309880"/>
                            <a:gd name="connsiteX2" fmla="*/ 6480175 w 6480175"/>
                            <a:gd name="connsiteY2" fmla="*/ 309880 h 309880"/>
                            <a:gd name="connsiteX3" fmla="*/ 6480175 w 6480175"/>
                            <a:gd name="connsiteY3" fmla="*/ 309880 h 309880"/>
                            <a:gd name="connsiteX4" fmla="*/ 0 w 6480175"/>
                            <a:gd name="connsiteY4" fmla="*/ 309880 h 309880"/>
                            <a:gd name="connsiteX5" fmla="*/ 0 w 6480175"/>
                            <a:gd name="connsiteY5" fmla="*/ 0 h 309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480175" h="309880">
                              <a:moveTo>
                                <a:pt x="0" y="0"/>
                              </a:moveTo>
                              <a:lnTo>
                                <a:pt x="6243955" y="0"/>
                              </a:lnTo>
                              <a:lnTo>
                                <a:pt x="6480175" y="309880"/>
                              </a:lnTo>
                              <a:lnTo>
                                <a:pt x="6480175" y="309880"/>
                              </a:lnTo>
                              <a:lnTo>
                                <a:pt x="0" y="309880"/>
                              </a:lnTo>
                              <a:lnTo>
                                <a:pt x="0" y="0"/>
                              </a:lnTo>
                              <a:close/>
                            </a:path>
                          </a:pathLst>
                        </a:custGeom>
                        <a:solidFill>
                          <a:srgbClr val="FFCD2D"/>
                        </a:solidFill>
                        <a:ln w="12700" cap="flat" cmpd="sng" algn="ctr">
                          <a:noFill/>
                          <a:prstDash val="solid"/>
                          <a:miter lim="800000"/>
                        </a:ln>
                        <a:effectLst/>
                      </wps:spPr>
                      <wps:txbx>
                        <w:txbxContent>
                          <w:p w14:paraId="1B097FE3" w14:textId="451E8D47" w:rsidR="00C63D20" w:rsidRPr="004B36AF" w:rsidRDefault="00E45D5C" w:rsidP="00B845B0">
                            <w:pPr>
                              <w:pStyle w:val="KeyTitle"/>
                              <w:numPr>
                                <w:ilvl w:val="0"/>
                                <w:numId w:val="24"/>
                              </w:numPr>
                              <w:rPr>
                                <w:rFonts w:ascii="Calibri" w:hAnsi="Calibri" w:cs="Calibri"/>
                                <w:color w:val="1E2DBE" w:themeColor="accent1"/>
                              </w:rPr>
                            </w:pPr>
                            <w:r w:rsidRPr="004B36AF">
                              <w:rPr>
                                <w:rFonts w:ascii="Calibri" w:hAnsi="Calibri" w:cs="Calibri"/>
                                <w:color w:val="1E2DBE" w:themeColor="accent1"/>
                              </w:rPr>
                              <w:t>MOP –</w:t>
                            </w:r>
                            <w:r w:rsidR="005776EE">
                              <w:rPr>
                                <w:rFonts w:ascii="Calibri" w:hAnsi="Calibri" w:cs="Calibri"/>
                                <w:color w:val="1E2DBE" w:themeColor="accent1"/>
                              </w:rPr>
                              <w:t xml:space="preserve"> </w:t>
                            </w:r>
                            <w:proofErr w:type="spellStart"/>
                            <w:r w:rsidRPr="004B36AF">
                              <w:rPr>
                                <w:rFonts w:ascii="Calibri" w:hAnsi="Calibri" w:cs="Calibri"/>
                                <w:color w:val="1E2DBE" w:themeColor="accent1"/>
                              </w:rPr>
                              <w:t>Streszczenie</w:t>
                            </w:r>
                            <w:proofErr w:type="spellEnd"/>
                            <w:r w:rsidRPr="004B36AF">
                              <w:rPr>
                                <w:rFonts w:ascii="Calibri" w:hAnsi="Calibri" w:cs="Calibri"/>
                                <w:color w:val="1E2DBE" w:themeColor="accent1"/>
                              </w:rPr>
                              <w:t xml:space="preserve"> </w:t>
                            </w:r>
                            <w:proofErr w:type="spellStart"/>
                            <w:r w:rsidRPr="004B36AF">
                              <w:rPr>
                                <w:rFonts w:ascii="Calibri" w:hAnsi="Calibri" w:cs="Calibri"/>
                                <w:color w:val="1E2DBE" w:themeColor="accent1"/>
                              </w:rPr>
                              <w:t>raportu</w:t>
                            </w:r>
                            <w:proofErr w:type="spellEnd"/>
                          </w:p>
                          <w:p w14:paraId="33D38AEC" w14:textId="77777777" w:rsidR="00C63D20" w:rsidRPr="000214FD" w:rsidRDefault="00C63D20" w:rsidP="00B845B0">
                            <w:pPr>
                              <w:pStyle w:val="KeyTitle"/>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DBF55" id="_x0000_s1026" style="position:absolute;left:0;text-align:left;margin-left:391.15pt;margin-top:-85.15pt;width:161.6pt;height: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480175,309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" adj="-11796480,,5400" path="m,l6243955,r236220,309880l6480175,309880,,309880,,xe" fillcolor="#ffcd2d" stroked="f" strokeweight="1pt">
                <v:stroke joinstyle="miter"/>
                <v:formulas/>
                <v:path arrowok="t" o:connecttype="custom" o:connectlocs="0,0;1977333,0;2052139,244928;2052139,244928;0,244928;0,0" o:connectangles="0,0,0,0,0,0" textboxrect="0,0,6480175,309880"/>
                <v:textbox inset="2mm,0,2mm,0">
                  <w:txbxContent>
                    <w:p w14:paraId="1B097FE3" w14:textId="451E8D47" w:rsidR="00C63D20" w:rsidRPr="004B36AF" w:rsidRDefault="00E45D5C" w:rsidP="00B845B0">
                      <w:pPr>
                        <w:pStyle w:val="KeyTitle"/>
                        <w:numPr>
                          <w:ilvl w:val="0"/>
                          <w:numId w:val="24"/>
                        </w:numPr>
                        <w:rPr>
                          <w:rFonts w:ascii="Calibri" w:hAnsi="Calibri" w:cs="Calibri"/>
                          <w:color w:val="1E2DBE" w:themeColor="accent1"/>
                        </w:rPr>
                      </w:pPr>
                      <w:r w:rsidRPr="004B36AF">
                        <w:rPr>
                          <w:rFonts w:ascii="Calibri" w:hAnsi="Calibri" w:cs="Calibri"/>
                          <w:color w:val="1E2DBE" w:themeColor="accent1"/>
                        </w:rPr>
                        <w:t>MOP –</w:t>
                      </w:r>
                      <w:r w:rsidR="005776EE">
                        <w:rPr>
                          <w:rFonts w:ascii="Calibri" w:hAnsi="Calibri" w:cs="Calibri"/>
                          <w:color w:val="1E2DBE" w:themeColor="accent1"/>
                        </w:rPr>
                        <w:t xml:space="preserve"> </w:t>
                      </w:r>
                      <w:proofErr w:type="spellStart"/>
                      <w:r w:rsidRPr="004B36AF">
                        <w:rPr>
                          <w:rFonts w:ascii="Calibri" w:hAnsi="Calibri" w:cs="Calibri"/>
                          <w:color w:val="1E2DBE" w:themeColor="accent1"/>
                        </w:rPr>
                        <w:t>Streszczenie</w:t>
                      </w:r>
                      <w:proofErr w:type="spellEnd"/>
                      <w:r w:rsidRPr="004B36AF">
                        <w:rPr>
                          <w:rFonts w:ascii="Calibri" w:hAnsi="Calibri" w:cs="Calibri"/>
                          <w:color w:val="1E2DBE" w:themeColor="accent1"/>
                        </w:rPr>
                        <w:t xml:space="preserve"> </w:t>
                      </w:r>
                      <w:proofErr w:type="spellStart"/>
                      <w:r w:rsidRPr="004B36AF">
                        <w:rPr>
                          <w:rFonts w:ascii="Calibri" w:hAnsi="Calibri" w:cs="Calibri"/>
                          <w:color w:val="1E2DBE" w:themeColor="accent1"/>
                        </w:rPr>
                        <w:t>raportu</w:t>
                      </w:r>
                      <w:proofErr w:type="spellEnd"/>
                    </w:p>
                    <w:p w14:paraId="33D38AEC" w14:textId="77777777" w:rsidR="00C63D20" w:rsidRPr="000214FD" w:rsidRDefault="00C63D20" w:rsidP="00B845B0">
                      <w:pPr>
                        <w:pStyle w:val="KeyTitle"/>
                      </w:pPr>
                    </w:p>
                  </w:txbxContent>
                </v:textbox>
                <w10:wrap anchorx="margin"/>
              </v:shape>
            </w:pict>
          </mc:Fallback>
        </mc:AlternateContent>
      </w:r>
      <w:r w:rsidRPr="00C30872">
        <w:rPr>
          <w:rFonts w:ascii="Calibri" w:hAnsi="Calibri" w:cs="Calibri"/>
          <w:lang w:val="pl-PL"/>
        </w:rPr>
        <w:t>Streszczenie raportu</w:t>
      </w:r>
    </w:p>
    <w:p w14:paraId="5CE967D1" w14:textId="262F34C8" w:rsidR="004C2061" w:rsidRPr="00C30872" w:rsidRDefault="003E6347" w:rsidP="00B845B0">
      <w:pPr>
        <w:pStyle w:val="DateMonthYear"/>
        <w:rPr>
          <w:rFonts w:ascii="Calibri" w:hAnsi="Calibri" w:cs="Calibri"/>
          <w:lang w:val="pl-PL"/>
        </w:rPr>
      </w:pPr>
      <w:r w:rsidRPr="00C30872">
        <w:rPr>
          <w:rFonts w:ascii="Calibri" w:hAnsi="Calibri" w:cs="Calibri"/>
          <w:lang w:val="pl-PL"/>
        </w:rPr>
        <w:t>28 kwietnia 2026 –Międzynarodowy</w:t>
      </w:r>
      <w:r w:rsidR="001D5FCA" w:rsidRPr="00C30872">
        <w:rPr>
          <w:rFonts w:ascii="Calibri" w:hAnsi="Calibri" w:cs="Calibri"/>
          <w:lang w:val="pl-PL"/>
        </w:rPr>
        <w:t xml:space="preserve"> Dzień Bezpieczeństwa i Zdrowia w Pracy</w:t>
      </w:r>
    </w:p>
    <w:p w14:paraId="4B14954F" w14:textId="77777777" w:rsidR="002A11FC" w:rsidRPr="005776EE" w:rsidRDefault="002A11FC" w:rsidP="002A11FC">
      <w:pPr>
        <w:pStyle w:val="Nagwek3"/>
        <w:rPr>
          <w:rFonts w:ascii="Calibri" w:eastAsia="Calibri" w:hAnsi="Calibri" w:cs="Calibri"/>
          <w:color w:val="1E2DBE" w:themeColor="accent1"/>
          <w:sz w:val="52"/>
          <w:szCs w:val="52"/>
          <w:lang w:eastAsia="en-US"/>
        </w:rPr>
      </w:pPr>
      <w:r w:rsidRPr="005776EE">
        <w:rPr>
          <w:rFonts w:ascii="Calibri" w:eastAsia="Calibri" w:hAnsi="Calibri" w:cs="Calibri"/>
          <w:color w:val="1E2DBE" w:themeColor="accent1"/>
          <w:sz w:val="52"/>
          <w:szCs w:val="52"/>
          <w:lang w:eastAsia="en-US"/>
        </w:rPr>
        <w:t>Psychospołeczne środowisko pracy</w:t>
      </w:r>
    </w:p>
    <w:p w14:paraId="52BE4A9D" w14:textId="34A4AA04" w:rsidR="005F6F50" w:rsidRPr="005776EE" w:rsidRDefault="002A11FC" w:rsidP="002A11FC">
      <w:pPr>
        <w:pStyle w:val="Nagwek3"/>
        <w:rPr>
          <w:rFonts w:eastAsia="Calibri"/>
          <w:b w:val="0"/>
          <w:bCs w:val="0"/>
          <w:color w:val="1E2DBE"/>
          <w:sz w:val="46"/>
          <w:szCs w:val="46"/>
          <w:lang w:eastAsia="en-US"/>
        </w:rPr>
      </w:pPr>
      <w:r w:rsidRPr="005776EE">
        <w:rPr>
          <w:rFonts w:ascii="Calibri" w:eastAsia="Calibri" w:hAnsi="Calibri" w:cs="Calibri"/>
          <w:b w:val="0"/>
          <w:bCs w:val="0"/>
          <w:color w:val="1E2DBE"/>
          <w:sz w:val="46"/>
          <w:szCs w:val="46"/>
          <w:lang w:eastAsia="en-US"/>
        </w:rPr>
        <w:t>Globalne trendy i kierunki działania</w:t>
      </w:r>
    </w:p>
    <w:p w14:paraId="245A0C31" w14:textId="77777777" w:rsidR="00057445" w:rsidRPr="00C30872" w:rsidRDefault="00057445" w:rsidP="00B845B0">
      <w:pPr>
        <w:pStyle w:val="NormalBody"/>
        <w:rPr>
          <w:lang w:val="pl-PL"/>
        </w:rPr>
      </w:pPr>
    </w:p>
    <w:tbl>
      <w:tblPr>
        <w:tblW w:w="0" w:type="auto"/>
        <w:tblCellMar>
          <w:top w:w="57" w:type="dxa"/>
          <w:left w:w="85" w:type="dxa"/>
          <w:bottom w:w="57" w:type="dxa"/>
          <w:right w:w="85" w:type="dxa"/>
        </w:tblCellMar>
        <w:tblLook w:val="0620" w:firstRow="1" w:lastRow="0" w:firstColumn="0" w:lastColumn="0" w:noHBand="1" w:noVBand="1"/>
      </w:tblPr>
      <w:tblGrid>
        <w:gridCol w:w="5093"/>
        <w:gridCol w:w="5111"/>
      </w:tblGrid>
      <w:tr w:rsidR="00FD5B2F" w:rsidRPr="005776EE" w14:paraId="0B3D2415" w14:textId="77777777" w:rsidTr="00057445">
        <w:trPr>
          <w:cantSplit/>
        </w:trPr>
        <w:tc>
          <w:tcPr>
            <w:tcW w:w="10204" w:type="dxa"/>
            <w:gridSpan w:val="2"/>
            <w:noWrap/>
            <w:tcMar>
              <w:top w:w="0" w:type="dxa"/>
              <w:left w:w="0" w:type="dxa"/>
              <w:bottom w:w="0" w:type="dxa"/>
              <w:right w:w="0" w:type="dxa"/>
            </w:tcMar>
            <w:vAlign w:val="center"/>
          </w:tcPr>
          <w:p w14:paraId="69415A96" w14:textId="77777777" w:rsidR="00FD5B2F" w:rsidRPr="00C30872" w:rsidRDefault="00B436DC" w:rsidP="00B845B0">
            <w:pPr>
              <w:pStyle w:val="KeyTitle"/>
              <w:rPr>
                <w:lang w:val="pl-PL"/>
              </w:rPr>
            </w:pPr>
            <w:r w:rsidRPr="005776EE">
              <w:rPr>
                <w:noProof/>
                <w:lang w:val="pl-PL" w:eastAsia="pl-PL"/>
              </w:rPr>
              <mc:AlternateContent>
                <mc:Choice Requires="wps">
                  <w:drawing>
                    <wp:inline distT="0" distB="0" distL="0" distR="0" wp14:anchorId="4605AB4A" wp14:editId="5B74386D">
                      <wp:extent cx="6480175" cy="400050"/>
                      <wp:effectExtent l="0" t="0" r="0" b="0"/>
                      <wp:docPr id="1133764078"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400050"/>
                              </a:xfrm>
                              <a:custGeom>
                                <a:avLst/>
                                <a:gdLst>
                                  <a:gd name="connsiteX0" fmla="*/ 0 w 6480175"/>
                                  <a:gd name="connsiteY0" fmla="*/ 0 h 309880"/>
                                  <a:gd name="connsiteX1" fmla="*/ 6325235 w 6480175"/>
                                  <a:gd name="connsiteY1" fmla="*/ 0 h 309880"/>
                                  <a:gd name="connsiteX2" fmla="*/ 6480175 w 6480175"/>
                                  <a:gd name="connsiteY2" fmla="*/ 154940 h 309880"/>
                                  <a:gd name="connsiteX3" fmla="*/ 6480175 w 6480175"/>
                                  <a:gd name="connsiteY3" fmla="*/ 309880 h 309880"/>
                                  <a:gd name="connsiteX4" fmla="*/ 0 w 6480175"/>
                                  <a:gd name="connsiteY4" fmla="*/ 309880 h 309880"/>
                                  <a:gd name="connsiteX5" fmla="*/ 0 w 6480175"/>
                                  <a:gd name="connsiteY5" fmla="*/ 0 h 309880"/>
                                  <a:gd name="connsiteX0" fmla="*/ 0 w 6480175"/>
                                  <a:gd name="connsiteY0" fmla="*/ 0 h 309880"/>
                                  <a:gd name="connsiteX1" fmla="*/ 6325235 w 6480175"/>
                                  <a:gd name="connsiteY1" fmla="*/ 0 h 309880"/>
                                  <a:gd name="connsiteX2" fmla="*/ 6480175 w 6480175"/>
                                  <a:gd name="connsiteY2" fmla="*/ 309880 h 309880"/>
                                  <a:gd name="connsiteX3" fmla="*/ 6480175 w 6480175"/>
                                  <a:gd name="connsiteY3" fmla="*/ 309880 h 309880"/>
                                  <a:gd name="connsiteX4" fmla="*/ 0 w 6480175"/>
                                  <a:gd name="connsiteY4" fmla="*/ 309880 h 309880"/>
                                  <a:gd name="connsiteX5" fmla="*/ 0 w 6480175"/>
                                  <a:gd name="connsiteY5" fmla="*/ 0 h 309880"/>
                                  <a:gd name="connsiteX0" fmla="*/ 0 w 6480175"/>
                                  <a:gd name="connsiteY0" fmla="*/ 0 h 309880"/>
                                  <a:gd name="connsiteX1" fmla="*/ 6193155 w 6480175"/>
                                  <a:gd name="connsiteY1" fmla="*/ 0 h 309880"/>
                                  <a:gd name="connsiteX2" fmla="*/ 6480175 w 6480175"/>
                                  <a:gd name="connsiteY2" fmla="*/ 309880 h 309880"/>
                                  <a:gd name="connsiteX3" fmla="*/ 6480175 w 6480175"/>
                                  <a:gd name="connsiteY3" fmla="*/ 309880 h 309880"/>
                                  <a:gd name="connsiteX4" fmla="*/ 0 w 6480175"/>
                                  <a:gd name="connsiteY4" fmla="*/ 309880 h 309880"/>
                                  <a:gd name="connsiteX5" fmla="*/ 0 w 6480175"/>
                                  <a:gd name="connsiteY5" fmla="*/ 0 h 309880"/>
                                  <a:gd name="connsiteX0" fmla="*/ 0 w 6480175"/>
                                  <a:gd name="connsiteY0" fmla="*/ 0 h 309880"/>
                                  <a:gd name="connsiteX1" fmla="*/ 6243955 w 6480175"/>
                                  <a:gd name="connsiteY1" fmla="*/ 0 h 309880"/>
                                  <a:gd name="connsiteX2" fmla="*/ 6480175 w 6480175"/>
                                  <a:gd name="connsiteY2" fmla="*/ 309880 h 309880"/>
                                  <a:gd name="connsiteX3" fmla="*/ 6480175 w 6480175"/>
                                  <a:gd name="connsiteY3" fmla="*/ 309880 h 309880"/>
                                  <a:gd name="connsiteX4" fmla="*/ 0 w 6480175"/>
                                  <a:gd name="connsiteY4" fmla="*/ 309880 h 309880"/>
                                  <a:gd name="connsiteX5" fmla="*/ 0 w 6480175"/>
                                  <a:gd name="connsiteY5" fmla="*/ 0 h 309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480175" h="309880">
                                    <a:moveTo>
                                      <a:pt x="0" y="0"/>
                                    </a:moveTo>
                                    <a:lnTo>
                                      <a:pt x="6243955" y="0"/>
                                    </a:lnTo>
                                    <a:lnTo>
                                      <a:pt x="6480175" y="309880"/>
                                    </a:lnTo>
                                    <a:lnTo>
                                      <a:pt x="6480175" y="309880"/>
                                    </a:lnTo>
                                    <a:lnTo>
                                      <a:pt x="0" y="309880"/>
                                    </a:lnTo>
                                    <a:lnTo>
                                      <a:pt x="0" y="0"/>
                                    </a:lnTo>
                                    <a:close/>
                                  </a:path>
                                </a:pathLst>
                              </a:custGeom>
                              <a:solidFill>
                                <a:srgbClr val="FFCD2D"/>
                              </a:solidFill>
                              <a:ln w="12700" cap="flat" cmpd="sng" algn="ctr">
                                <a:noFill/>
                                <a:prstDash val="solid"/>
                                <a:miter lim="800000"/>
                              </a:ln>
                              <a:effectLst/>
                            </wps:spPr>
                            <wps:txbx>
                              <w:txbxContent>
                                <w:p w14:paraId="60F3073B" w14:textId="5CC42015" w:rsidR="002A11FC" w:rsidRPr="004B36AF" w:rsidRDefault="00AF439C" w:rsidP="002A11FC">
                                  <w:pPr>
                                    <w:pStyle w:val="NormalBody"/>
                                    <w:rPr>
                                      <w:rFonts w:ascii="Calibri" w:hAnsi="Calibri" w:cs="Calibri"/>
                                      <w:b/>
                                      <w:bCs/>
                                      <w:color w:val="1E2DBE" w:themeColor="accent1"/>
                                      <w:sz w:val="20"/>
                                      <w:szCs w:val="20"/>
                                      <w:lang w:val="pl-PL"/>
                                    </w:rPr>
                                  </w:pPr>
                                  <w:r w:rsidRPr="004B36AF">
                                    <w:rPr>
                                      <w:rFonts w:ascii="Calibri" w:hAnsi="Calibri" w:cs="Calibri"/>
                                      <w:b/>
                                      <w:bCs/>
                                      <w:color w:val="1E2DBE" w:themeColor="accent1"/>
                                      <w:sz w:val="20"/>
                                      <w:szCs w:val="20"/>
                                      <w:lang w:val="pl-PL"/>
                                    </w:rPr>
                                    <w:t>Zagro</w:t>
                                  </w:r>
                                  <w:r w:rsidR="003E6347" w:rsidRPr="004B36AF">
                                    <w:rPr>
                                      <w:rFonts w:ascii="Calibri" w:hAnsi="Calibri" w:cs="Calibri"/>
                                      <w:b/>
                                      <w:bCs/>
                                      <w:color w:val="1E2DBE" w:themeColor="accent1"/>
                                      <w:sz w:val="20"/>
                                      <w:szCs w:val="20"/>
                                      <w:lang w:val="pl-PL"/>
                                    </w:rPr>
                                    <w:t>żenia psychospołeczne związane z pracą – poważne i rosnące zagroż</w:t>
                                  </w:r>
                                  <w:r w:rsidR="002A11FC" w:rsidRPr="004B36AF">
                                    <w:rPr>
                                      <w:rFonts w:ascii="Calibri" w:hAnsi="Calibri" w:cs="Calibri"/>
                                      <w:b/>
                                      <w:bCs/>
                                      <w:color w:val="1E2DBE" w:themeColor="accent1"/>
                                      <w:sz w:val="20"/>
                                      <w:szCs w:val="20"/>
                                      <w:lang w:val="pl-PL"/>
                                    </w:rPr>
                                    <w:t>enie dla bezpieczeństwa</w:t>
                                  </w:r>
                                  <w:r w:rsidR="003E6347" w:rsidRPr="004B36AF">
                                    <w:rPr>
                                      <w:rFonts w:ascii="Calibri" w:hAnsi="Calibri" w:cs="Calibri"/>
                                      <w:b/>
                                      <w:bCs/>
                                      <w:color w:val="1E2DBE" w:themeColor="accent1"/>
                                      <w:sz w:val="20"/>
                                      <w:szCs w:val="20"/>
                                      <w:lang w:val="pl-PL"/>
                                    </w:rPr>
                                    <w:t xml:space="preserve"> i zdrowia pracowników, wydajnoś</w:t>
                                  </w:r>
                                  <w:r w:rsidR="002A11FC" w:rsidRPr="004B36AF">
                                    <w:rPr>
                                      <w:rFonts w:ascii="Calibri" w:hAnsi="Calibri" w:cs="Calibri"/>
                                      <w:b/>
                                      <w:bCs/>
                                      <w:color w:val="1E2DBE" w:themeColor="accent1"/>
                                      <w:sz w:val="20"/>
                                      <w:szCs w:val="20"/>
                                      <w:lang w:val="pl-PL"/>
                                    </w:rPr>
                                    <w:t>ci organizacji oraz ogólnych wyników gospodarczych.</w:t>
                                  </w:r>
                                </w:p>
                                <w:p w14:paraId="66BB7A62" w14:textId="77777777" w:rsidR="003E6347" w:rsidRPr="002C2EB7" w:rsidRDefault="003E6347" w:rsidP="002A11FC">
                                  <w:pPr>
                                    <w:pStyle w:val="NormalBody"/>
                                    <w:rPr>
                                      <w:b/>
                                      <w:bCs/>
                                      <w:color w:val="1E2DBE" w:themeColor="accent1"/>
                                      <w:sz w:val="20"/>
                                      <w:szCs w:val="20"/>
                                      <w:lang w:val="pl-PL"/>
                                    </w:rPr>
                                  </w:pPr>
                                </w:p>
                                <w:p w14:paraId="18435C0D" w14:textId="2BB885D5" w:rsidR="004008F5" w:rsidRPr="00C30872" w:rsidRDefault="004008F5" w:rsidP="00B845B0">
                                  <w:pPr>
                                    <w:pStyle w:val="KeyTitle"/>
                                    <w:rPr>
                                      <w:color w:val="1E2DBE" w:themeColor="accent1"/>
                                      <w:lang w:val="pl-PL"/>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4605AB4A" id="Forme libre 4" o:spid="_x0000_s1027" style="width:510.25pt;height:31.5pt;visibility:visible;mso-wrap-style:square;mso-left-percent:-10001;mso-top-percent:-10001;mso-position-horizontal:absolute;mso-position-horizontal-relative:char;mso-position-vertical:absolute;mso-position-vertical-relative:line;mso-left-percent:-10001;mso-top-percent:-10001;v-text-anchor:middle" coordsize="6480175,309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" adj="-11796480,,5400" path="m,l6243955,r236220,309880l6480175,309880,,309880,,xe" fillcolor="#ffcd2d" stroked="f" strokeweight="1pt">
                      <v:stroke joinstyle="miter"/>
                      <v:formulas/>
                      <v:path arrowok="t" o:connecttype="custom" o:connectlocs="0,0;6243955,0;6480175,400050;6480175,400050;0,400050;0,0" o:connectangles="0,0,0,0,0,0" textboxrect="0,0,6480175,309880"/>
                      <v:textbox inset="2mm,0,2mm,0">
                        <w:txbxContent>
                          <w:p w14:paraId="60F3073B" w14:textId="5CC42015" w:rsidR="002A11FC" w:rsidRPr="004B36AF" w:rsidRDefault="00AF439C" w:rsidP="002A11FC">
                            <w:pPr>
                              <w:pStyle w:val="NormalBody"/>
                              <w:rPr>
                                <w:rFonts w:ascii="Calibri" w:hAnsi="Calibri" w:cs="Calibri"/>
                                <w:b/>
                                <w:bCs/>
                                <w:color w:val="1E2DBE" w:themeColor="accent1"/>
                                <w:sz w:val="20"/>
                                <w:szCs w:val="20"/>
                                <w:lang w:val="pl-PL"/>
                              </w:rPr>
                            </w:pPr>
                            <w:r w:rsidRPr="004B36AF">
                              <w:rPr>
                                <w:rFonts w:ascii="Calibri" w:hAnsi="Calibri" w:cs="Calibri"/>
                                <w:b/>
                                <w:bCs/>
                                <w:color w:val="1E2DBE" w:themeColor="accent1"/>
                                <w:sz w:val="20"/>
                                <w:szCs w:val="20"/>
                                <w:lang w:val="pl-PL"/>
                              </w:rPr>
                              <w:t>Zagro</w:t>
                            </w:r>
                            <w:r w:rsidR="003E6347" w:rsidRPr="004B36AF">
                              <w:rPr>
                                <w:rFonts w:ascii="Calibri" w:hAnsi="Calibri" w:cs="Calibri"/>
                                <w:b/>
                                <w:bCs/>
                                <w:color w:val="1E2DBE" w:themeColor="accent1"/>
                                <w:sz w:val="20"/>
                                <w:szCs w:val="20"/>
                                <w:lang w:val="pl-PL"/>
                              </w:rPr>
                              <w:t>żenia psychospołeczne związane z pracą – poważne i rosnące zagroż</w:t>
                            </w:r>
                            <w:r w:rsidR="002A11FC" w:rsidRPr="004B36AF">
                              <w:rPr>
                                <w:rFonts w:ascii="Calibri" w:hAnsi="Calibri" w:cs="Calibri"/>
                                <w:b/>
                                <w:bCs/>
                                <w:color w:val="1E2DBE" w:themeColor="accent1"/>
                                <w:sz w:val="20"/>
                                <w:szCs w:val="20"/>
                                <w:lang w:val="pl-PL"/>
                              </w:rPr>
                              <w:t>enie dla bezpieczeństwa</w:t>
                            </w:r>
                            <w:r w:rsidR="003E6347" w:rsidRPr="004B36AF">
                              <w:rPr>
                                <w:rFonts w:ascii="Calibri" w:hAnsi="Calibri" w:cs="Calibri"/>
                                <w:b/>
                                <w:bCs/>
                                <w:color w:val="1E2DBE" w:themeColor="accent1"/>
                                <w:sz w:val="20"/>
                                <w:szCs w:val="20"/>
                                <w:lang w:val="pl-PL"/>
                              </w:rPr>
                              <w:t xml:space="preserve"> i zdrowia pracowników, wydajnoś</w:t>
                            </w:r>
                            <w:r w:rsidR="002A11FC" w:rsidRPr="004B36AF">
                              <w:rPr>
                                <w:rFonts w:ascii="Calibri" w:hAnsi="Calibri" w:cs="Calibri"/>
                                <w:b/>
                                <w:bCs/>
                                <w:color w:val="1E2DBE" w:themeColor="accent1"/>
                                <w:sz w:val="20"/>
                                <w:szCs w:val="20"/>
                                <w:lang w:val="pl-PL"/>
                              </w:rPr>
                              <w:t>ci organizacji oraz ogólnych wyników gospodarczych.</w:t>
                            </w:r>
                          </w:p>
                          <w:p w14:paraId="66BB7A62" w14:textId="77777777" w:rsidR="003E6347" w:rsidRPr="002C2EB7" w:rsidRDefault="003E6347" w:rsidP="002A11FC">
                            <w:pPr>
                              <w:pStyle w:val="NormalBody"/>
                              <w:rPr>
                                <w:b/>
                                <w:bCs/>
                                <w:color w:val="1E2DBE" w:themeColor="accent1"/>
                                <w:sz w:val="20"/>
                                <w:szCs w:val="20"/>
                                <w:lang w:val="pl-PL"/>
                              </w:rPr>
                            </w:pPr>
                          </w:p>
                          <w:p w14:paraId="18435C0D" w14:textId="2BB885D5" w:rsidR="004008F5" w:rsidRPr="00C30872" w:rsidRDefault="004008F5" w:rsidP="00B845B0">
                            <w:pPr>
                              <w:pStyle w:val="KeyTitle"/>
                              <w:rPr>
                                <w:color w:val="1E2DBE" w:themeColor="accent1"/>
                                <w:lang w:val="pl-PL"/>
                              </w:rPr>
                            </w:pPr>
                          </w:p>
                        </w:txbxContent>
                      </v:textbox>
                      <w10:anchorlock/>
                    </v:shape>
                  </w:pict>
                </mc:Fallback>
              </mc:AlternateContent>
            </w:r>
          </w:p>
        </w:tc>
      </w:tr>
      <w:tr w:rsidR="00FD5B2F" w:rsidRPr="005776EE" w14:paraId="0CB823C3" w14:textId="77777777" w:rsidTr="00BC55CA">
        <w:trPr>
          <w:cantSplit/>
        </w:trPr>
        <w:tc>
          <w:tcPr>
            <w:tcW w:w="5072" w:type="dxa"/>
            <w:shd w:val="clear" w:color="auto" w:fill="EBF5FD"/>
          </w:tcPr>
          <w:p w14:paraId="41765A94" w14:textId="0BAD8ABF" w:rsidR="005B045F" w:rsidRPr="005776EE" w:rsidRDefault="005B045F" w:rsidP="005B045F">
            <w:pPr>
              <w:pStyle w:val="KeyList"/>
              <w:numPr>
                <w:ilvl w:val="0"/>
                <w:numId w:val="27"/>
              </w:numPr>
              <w:rPr>
                <w:rFonts w:ascii="Calibri" w:hAnsi="Calibri" w:cs="Calibri"/>
                <w:lang w:val="pl-PL"/>
              </w:rPr>
            </w:pPr>
            <w:r w:rsidRPr="005776EE">
              <w:rPr>
                <w:rFonts w:ascii="Calibri" w:hAnsi="Calibri" w:cs="Calibri"/>
                <w:lang w:val="pl-PL"/>
              </w:rPr>
              <w:t xml:space="preserve">Według najnowszych szacunków opublikowanych po raz pierwszy przez MOP w globalnym raporcie </w:t>
            </w:r>
            <w:r w:rsidRPr="00C30872">
              <w:rPr>
                <w:rFonts w:ascii="Calibri" w:hAnsi="Calibri" w:cs="Calibri"/>
                <w:i/>
                <w:lang w:val="pl-PL"/>
              </w:rPr>
              <w:t>Psychospołeczne środowisko pracy: globalne trendy i kierunki działania</w:t>
            </w:r>
            <w:r w:rsidRPr="005776EE">
              <w:rPr>
                <w:rFonts w:ascii="Calibri" w:hAnsi="Calibri" w:cs="Calibri"/>
                <w:lang w:val="pl-PL"/>
              </w:rPr>
              <w:t xml:space="preserve">, czynniki ryzyka </w:t>
            </w:r>
            <w:r w:rsidR="004B36AF" w:rsidRPr="005776EE">
              <w:rPr>
                <w:rFonts w:ascii="Calibri" w:hAnsi="Calibri" w:cs="Calibri"/>
                <w:lang w:val="pl-PL"/>
              </w:rPr>
              <w:t>psychospołecznego</w:t>
            </w:r>
            <w:r w:rsidRPr="005776EE">
              <w:rPr>
                <w:rFonts w:ascii="Calibri" w:hAnsi="Calibri" w:cs="Calibri"/>
                <w:lang w:val="pl-PL"/>
              </w:rPr>
              <w:t xml:space="preserve"> odpowiadają za ponad </w:t>
            </w:r>
            <w:r w:rsidRPr="005776EE">
              <w:rPr>
                <w:rFonts w:ascii="Calibri" w:hAnsi="Calibri" w:cs="Calibri"/>
                <w:b/>
                <w:bCs/>
                <w:lang w:val="pl-PL"/>
              </w:rPr>
              <w:t>840 000</w:t>
            </w:r>
            <w:r w:rsidRPr="005776EE">
              <w:rPr>
                <w:rFonts w:ascii="Calibri" w:hAnsi="Calibri" w:cs="Calibri"/>
                <w:lang w:val="pl-PL"/>
              </w:rPr>
              <w:t xml:space="preserve"> </w:t>
            </w:r>
            <w:r w:rsidRPr="005776EE">
              <w:rPr>
                <w:rFonts w:ascii="Calibri" w:hAnsi="Calibri" w:cs="Calibri"/>
                <w:b/>
                <w:bCs/>
                <w:lang w:val="pl-PL"/>
              </w:rPr>
              <w:t>zgonów</w:t>
            </w:r>
            <w:r w:rsidRPr="005776EE">
              <w:rPr>
                <w:rFonts w:ascii="Calibri" w:hAnsi="Calibri" w:cs="Calibri"/>
                <w:lang w:val="pl-PL"/>
              </w:rPr>
              <w:t xml:space="preserve"> rocznie, wynikających z chorób układu krążenia oraz zaburzeń psychicznych.</w:t>
            </w:r>
          </w:p>
          <w:p w14:paraId="747DBDB9" w14:textId="6FF2DBF5" w:rsidR="005B045F" w:rsidRPr="005776EE" w:rsidRDefault="005B045F" w:rsidP="005B045F">
            <w:pPr>
              <w:pStyle w:val="KeyList"/>
              <w:numPr>
                <w:ilvl w:val="0"/>
                <w:numId w:val="27"/>
              </w:numPr>
              <w:rPr>
                <w:rFonts w:ascii="Calibri" w:hAnsi="Calibri" w:cs="Calibri"/>
                <w:b/>
                <w:bCs/>
                <w:lang w:val="pl-PL"/>
              </w:rPr>
            </w:pPr>
            <w:r w:rsidRPr="005776EE">
              <w:rPr>
                <w:rFonts w:ascii="Calibri" w:hAnsi="Calibri" w:cs="Calibri"/>
                <w:lang w:val="pl-PL"/>
              </w:rPr>
              <w:t xml:space="preserve">Czynniki te prowadzą również do utraty prawie </w:t>
            </w:r>
            <w:r w:rsidRPr="005776EE">
              <w:rPr>
                <w:rFonts w:ascii="Calibri" w:hAnsi="Calibri" w:cs="Calibri"/>
                <w:b/>
                <w:bCs/>
                <w:lang w:val="pl-PL"/>
              </w:rPr>
              <w:t xml:space="preserve">45 milionów lat życia skorygowanych niesprawnością (DALY) </w:t>
            </w:r>
            <w:r w:rsidRPr="005776EE">
              <w:rPr>
                <w:rFonts w:ascii="Calibri" w:hAnsi="Calibri" w:cs="Calibri"/>
                <w:lang w:val="pl-PL"/>
              </w:rPr>
              <w:t xml:space="preserve">rocznie. Szacuje się, że łączny wpływ chorób układu krążenia </w:t>
            </w:r>
            <w:r w:rsidR="005776EE">
              <w:rPr>
                <w:rFonts w:ascii="Calibri" w:hAnsi="Calibri" w:cs="Calibri"/>
                <w:lang w:val="pl-PL"/>
              </w:rPr>
              <w:br/>
            </w:r>
            <w:r w:rsidRPr="005776EE">
              <w:rPr>
                <w:rFonts w:ascii="Calibri" w:hAnsi="Calibri" w:cs="Calibri"/>
                <w:lang w:val="pl-PL"/>
              </w:rPr>
              <w:t>i zaburzeń psychicznych związanych z czynnikami ryzyka psychospo</w:t>
            </w:r>
            <w:r w:rsidR="000C6191" w:rsidRPr="005776EE">
              <w:rPr>
                <w:rFonts w:ascii="Calibri" w:hAnsi="Calibri" w:cs="Calibri"/>
                <w:lang w:val="pl-PL"/>
              </w:rPr>
              <w:t>ł</w:t>
            </w:r>
            <w:r w:rsidRPr="005776EE">
              <w:rPr>
                <w:rFonts w:ascii="Calibri" w:hAnsi="Calibri" w:cs="Calibri"/>
                <w:lang w:val="pl-PL"/>
              </w:rPr>
              <w:t xml:space="preserve">ecznego powoduje utratę </w:t>
            </w:r>
            <w:r w:rsidRPr="005776EE">
              <w:rPr>
                <w:rFonts w:ascii="Calibri" w:hAnsi="Calibri" w:cs="Calibri"/>
                <w:b/>
                <w:bCs/>
                <w:lang w:val="pl-PL"/>
              </w:rPr>
              <w:t>1,37% światowego PKB rocznie.</w:t>
            </w:r>
          </w:p>
          <w:p w14:paraId="16E459DF" w14:textId="5AF724D6" w:rsidR="005B045F" w:rsidRPr="005776EE" w:rsidRDefault="005B045F" w:rsidP="005B045F">
            <w:pPr>
              <w:pStyle w:val="KeyList"/>
              <w:numPr>
                <w:ilvl w:val="0"/>
                <w:numId w:val="27"/>
              </w:numPr>
              <w:rPr>
                <w:rFonts w:ascii="Calibri" w:hAnsi="Calibri" w:cs="Calibri"/>
                <w:b/>
                <w:bCs/>
                <w:lang w:val="pl-PL"/>
              </w:rPr>
            </w:pPr>
            <w:r w:rsidRPr="005776EE">
              <w:rPr>
                <w:rFonts w:ascii="Calibri" w:hAnsi="Calibri" w:cs="Calibri"/>
                <w:lang w:val="pl-PL"/>
              </w:rPr>
              <w:t xml:space="preserve">W związku z tym należy podkreślić, że </w:t>
            </w:r>
            <w:r w:rsidRPr="005776EE">
              <w:rPr>
                <w:rFonts w:ascii="Calibri" w:hAnsi="Calibri" w:cs="Calibri"/>
                <w:b/>
                <w:bCs/>
                <w:lang w:val="pl-PL"/>
              </w:rPr>
              <w:t>długie godziny pracy</w:t>
            </w:r>
            <w:r w:rsidRPr="005776EE">
              <w:rPr>
                <w:rFonts w:ascii="Calibri" w:hAnsi="Calibri" w:cs="Calibri"/>
                <w:lang w:val="pl-PL"/>
              </w:rPr>
              <w:t xml:space="preserve"> – będące kluczowym czynnikiem ryzyka psychospołecznego, związanym ze zwiększonym ryzykiem chorób układu krążenia </w:t>
            </w:r>
            <w:r w:rsidR="005776EE">
              <w:rPr>
                <w:rFonts w:ascii="Calibri" w:hAnsi="Calibri" w:cs="Calibri"/>
                <w:lang w:val="pl-PL"/>
              </w:rPr>
              <w:br/>
            </w:r>
            <w:r w:rsidRPr="005776EE">
              <w:rPr>
                <w:rFonts w:ascii="Calibri" w:hAnsi="Calibri" w:cs="Calibri"/>
                <w:lang w:val="pl-PL"/>
              </w:rPr>
              <w:t xml:space="preserve">i udaru mózgu – pozostają zjawiskiem powszechnym. MOP szacuje, że na świecie </w:t>
            </w:r>
            <w:r w:rsidRPr="005776EE">
              <w:rPr>
                <w:rFonts w:ascii="Calibri" w:hAnsi="Calibri" w:cs="Calibri"/>
                <w:b/>
                <w:bCs/>
                <w:lang w:val="pl-PL"/>
              </w:rPr>
              <w:t>35% pracowników pracuje ponad 48 godzin tygodniowo.</w:t>
            </w:r>
          </w:p>
          <w:p w14:paraId="439DE935" w14:textId="4B16B6F9" w:rsidR="000214FD" w:rsidRPr="00C30872" w:rsidRDefault="000214FD" w:rsidP="000C6191">
            <w:pPr>
              <w:pStyle w:val="KeyList"/>
              <w:numPr>
                <w:ilvl w:val="0"/>
                <w:numId w:val="0"/>
              </w:numPr>
              <w:ind w:left="360"/>
              <w:rPr>
                <w:rFonts w:ascii="Calibri" w:hAnsi="Calibri" w:cs="Calibri"/>
                <w:lang w:val="pl-PL"/>
              </w:rPr>
            </w:pPr>
          </w:p>
        </w:tc>
        <w:tc>
          <w:tcPr>
            <w:tcW w:w="5132" w:type="dxa"/>
            <w:shd w:val="clear" w:color="auto" w:fill="EBF5FD"/>
          </w:tcPr>
          <w:p w14:paraId="1C853840" w14:textId="52AA14A6" w:rsidR="005B045F" w:rsidRPr="005776EE" w:rsidRDefault="003E6347" w:rsidP="005B045F">
            <w:pPr>
              <w:pStyle w:val="KeyList"/>
              <w:numPr>
                <w:ilvl w:val="0"/>
                <w:numId w:val="27"/>
              </w:numPr>
              <w:rPr>
                <w:rFonts w:ascii="Calibri" w:hAnsi="Calibri" w:cs="Calibri"/>
                <w:lang w:val="pl-PL"/>
              </w:rPr>
            </w:pPr>
            <w:r w:rsidRPr="005776EE">
              <w:rPr>
                <w:rFonts w:ascii="Calibri" w:hAnsi="Calibri" w:cs="Calibri"/>
                <w:lang w:val="pl-PL"/>
              </w:rPr>
              <w:t>Kolejnym poważnym problemem jest naraż</w:t>
            </w:r>
            <w:r w:rsidR="005B045F" w:rsidRPr="005776EE">
              <w:rPr>
                <w:rFonts w:ascii="Calibri" w:hAnsi="Calibri" w:cs="Calibri"/>
                <w:lang w:val="pl-PL"/>
              </w:rPr>
              <w:t xml:space="preserve">enie na przemoc </w:t>
            </w:r>
            <w:r w:rsidR="005776EE">
              <w:rPr>
                <w:rFonts w:ascii="Calibri" w:hAnsi="Calibri" w:cs="Calibri"/>
                <w:lang w:val="pl-PL"/>
              </w:rPr>
              <w:br/>
            </w:r>
            <w:r w:rsidR="005B045F" w:rsidRPr="005776EE">
              <w:rPr>
                <w:rFonts w:ascii="Calibri" w:hAnsi="Calibri" w:cs="Calibri"/>
                <w:lang w:val="pl-PL"/>
              </w:rPr>
              <w:t>i molestowanie oraz inne ich formy</w:t>
            </w:r>
            <w:r w:rsidR="000C6191" w:rsidRPr="005776EE">
              <w:rPr>
                <w:rFonts w:ascii="Calibri" w:hAnsi="Calibri" w:cs="Calibri"/>
                <w:lang w:val="pl-PL"/>
              </w:rPr>
              <w:t xml:space="preserve"> zachowań niepożądanych</w:t>
            </w:r>
            <w:r w:rsidR="005B045F" w:rsidRPr="005776EE">
              <w:rPr>
                <w:rFonts w:ascii="Calibri" w:hAnsi="Calibri" w:cs="Calibri"/>
                <w:lang w:val="pl-PL"/>
              </w:rPr>
              <w:t>. MOP szacuj</w:t>
            </w:r>
            <w:r w:rsidRPr="005776EE">
              <w:rPr>
                <w:rFonts w:ascii="Calibri" w:hAnsi="Calibri" w:cs="Calibri"/>
                <w:lang w:val="pl-PL"/>
              </w:rPr>
              <w:t>e, ż</w:t>
            </w:r>
            <w:r w:rsidR="005B045F" w:rsidRPr="005776EE">
              <w:rPr>
                <w:rFonts w:ascii="Calibri" w:hAnsi="Calibri" w:cs="Calibri"/>
                <w:lang w:val="pl-PL"/>
              </w:rPr>
              <w:t xml:space="preserve">e </w:t>
            </w:r>
            <w:r w:rsidRPr="005776EE">
              <w:rPr>
                <w:rFonts w:ascii="Calibri" w:hAnsi="Calibri" w:cs="Calibri"/>
                <w:b/>
                <w:bCs/>
                <w:lang w:val="pl-PL"/>
              </w:rPr>
              <w:t>23% pracowników na ś</w:t>
            </w:r>
            <w:r w:rsidR="005B045F" w:rsidRPr="005776EE">
              <w:rPr>
                <w:rFonts w:ascii="Calibri" w:hAnsi="Calibri" w:cs="Calibri"/>
                <w:b/>
                <w:bCs/>
                <w:lang w:val="pl-PL"/>
              </w:rPr>
              <w:t>wiecie</w:t>
            </w:r>
            <w:r w:rsidRPr="005776EE">
              <w:rPr>
                <w:rFonts w:ascii="Calibri" w:hAnsi="Calibri" w:cs="Calibri"/>
                <w:lang w:val="pl-PL"/>
              </w:rPr>
              <w:t xml:space="preserve"> doświadczyło w swoim ż</w:t>
            </w:r>
            <w:r w:rsidR="005B045F" w:rsidRPr="005776EE">
              <w:rPr>
                <w:rFonts w:ascii="Calibri" w:hAnsi="Calibri" w:cs="Calibri"/>
                <w:lang w:val="pl-PL"/>
              </w:rPr>
              <w:t>yciu zawodowym co najmniej jednej formy przemocy lub</w:t>
            </w:r>
            <w:r w:rsidRPr="005776EE">
              <w:rPr>
                <w:rFonts w:ascii="Calibri" w:hAnsi="Calibri" w:cs="Calibri"/>
                <w:lang w:val="pl-PL"/>
              </w:rPr>
              <w:t xml:space="preserve"> molestowania, przy czym najczęś</w:t>
            </w:r>
            <w:r w:rsidR="005B045F" w:rsidRPr="005776EE">
              <w:rPr>
                <w:rFonts w:ascii="Calibri" w:hAnsi="Calibri" w:cs="Calibri"/>
                <w:lang w:val="pl-PL"/>
              </w:rPr>
              <w:t xml:space="preserve">ciej </w:t>
            </w:r>
            <w:r w:rsidR="000C6191" w:rsidRPr="005776EE">
              <w:rPr>
                <w:rFonts w:ascii="Calibri" w:hAnsi="Calibri" w:cs="Calibri"/>
                <w:lang w:val="pl-PL"/>
              </w:rPr>
              <w:t>jest to</w:t>
            </w:r>
            <w:r w:rsidR="005B045F" w:rsidRPr="005776EE">
              <w:rPr>
                <w:rFonts w:ascii="Calibri" w:hAnsi="Calibri" w:cs="Calibri"/>
                <w:lang w:val="pl-PL"/>
              </w:rPr>
              <w:t xml:space="preserve"> przemoc psychiczna </w:t>
            </w:r>
            <w:r w:rsidR="005B045F" w:rsidRPr="005776EE">
              <w:rPr>
                <w:rFonts w:ascii="Calibri" w:hAnsi="Calibri" w:cs="Calibri"/>
                <w:b/>
                <w:bCs/>
                <w:lang w:val="pl-PL"/>
              </w:rPr>
              <w:t>(18%).</w:t>
            </w:r>
          </w:p>
          <w:p w14:paraId="3DCBA5CC" w14:textId="7781A76E" w:rsidR="005B045F" w:rsidRPr="005776EE" w:rsidRDefault="003E6347" w:rsidP="005B045F">
            <w:pPr>
              <w:pStyle w:val="KeyList"/>
              <w:numPr>
                <w:ilvl w:val="0"/>
                <w:numId w:val="27"/>
              </w:numPr>
              <w:rPr>
                <w:rFonts w:ascii="Calibri" w:hAnsi="Calibri" w:cs="Calibri"/>
                <w:lang w:val="pl-PL"/>
              </w:rPr>
            </w:pPr>
            <w:r w:rsidRPr="005776EE">
              <w:rPr>
                <w:rFonts w:ascii="Calibri" w:hAnsi="Calibri" w:cs="Calibri"/>
                <w:lang w:val="pl-PL"/>
              </w:rPr>
              <w:t>W odpowiedzi na utrzymujące się luki w dostępnośc</w:t>
            </w:r>
            <w:r w:rsidR="005B045F" w:rsidRPr="005776EE">
              <w:rPr>
                <w:rFonts w:ascii="Calibri" w:hAnsi="Calibri" w:cs="Calibri"/>
                <w:lang w:val="pl-PL"/>
              </w:rPr>
              <w:t>i danych na poziomie global</w:t>
            </w:r>
            <w:r w:rsidRPr="005776EE">
              <w:rPr>
                <w:rFonts w:ascii="Calibri" w:hAnsi="Calibri" w:cs="Calibri"/>
                <w:lang w:val="pl-PL"/>
              </w:rPr>
              <w:t>nym oraz obawy dotyczące jakoś</w:t>
            </w:r>
            <w:r w:rsidR="00563D80" w:rsidRPr="005776EE">
              <w:rPr>
                <w:rFonts w:ascii="Calibri" w:hAnsi="Calibri" w:cs="Calibri"/>
                <w:lang w:val="pl-PL"/>
              </w:rPr>
              <w:t xml:space="preserve">ci </w:t>
            </w:r>
            <w:r w:rsidR="005776EE">
              <w:rPr>
                <w:rFonts w:ascii="Calibri" w:hAnsi="Calibri" w:cs="Calibri"/>
                <w:lang w:val="pl-PL"/>
              </w:rPr>
              <w:br/>
            </w:r>
            <w:r w:rsidR="00563D80" w:rsidRPr="005776EE">
              <w:rPr>
                <w:rFonts w:ascii="Calibri" w:hAnsi="Calibri" w:cs="Calibri"/>
                <w:lang w:val="pl-PL"/>
              </w:rPr>
              <w:t>i porównywalnoś</w:t>
            </w:r>
            <w:r w:rsidR="005B045F" w:rsidRPr="005776EE">
              <w:rPr>
                <w:rFonts w:ascii="Calibri" w:hAnsi="Calibri" w:cs="Calibri"/>
                <w:lang w:val="pl-PL"/>
              </w:rPr>
              <w:t xml:space="preserve">ci statystyk bezpieczeństwa i higieny pracy (bhp), MOP przeprowadziła w </w:t>
            </w:r>
            <w:r w:rsidR="00563D80" w:rsidRPr="005776EE">
              <w:rPr>
                <w:rFonts w:ascii="Calibri" w:hAnsi="Calibri" w:cs="Calibri"/>
                <w:lang w:val="pl-PL"/>
              </w:rPr>
              <w:t>2025 r. ukierunkowane badanie wś</w:t>
            </w:r>
            <w:r w:rsidR="005B045F" w:rsidRPr="005776EE">
              <w:rPr>
                <w:rFonts w:ascii="Calibri" w:hAnsi="Calibri" w:cs="Calibri"/>
                <w:lang w:val="pl-PL"/>
              </w:rPr>
              <w:t>ród krajowych punktów kontaktowych ds. s</w:t>
            </w:r>
            <w:r w:rsidR="00563D80" w:rsidRPr="005776EE">
              <w:rPr>
                <w:rFonts w:ascii="Calibri" w:hAnsi="Calibri" w:cs="Calibri"/>
                <w:lang w:val="pl-PL"/>
              </w:rPr>
              <w:t>tatystyk bhp. Wyniki wskazują, ż</w:t>
            </w:r>
            <w:r w:rsidR="005B045F" w:rsidRPr="005776EE">
              <w:rPr>
                <w:rFonts w:ascii="Calibri" w:hAnsi="Calibri" w:cs="Calibri"/>
                <w:lang w:val="pl-PL"/>
              </w:rPr>
              <w:t xml:space="preserve">e </w:t>
            </w:r>
            <w:r w:rsidR="00563D80" w:rsidRPr="005776EE">
              <w:rPr>
                <w:rFonts w:ascii="Calibri" w:hAnsi="Calibri" w:cs="Calibri"/>
                <w:b/>
                <w:bCs/>
                <w:lang w:val="pl-PL"/>
              </w:rPr>
              <w:t>37% instytucji, które udzielił</w:t>
            </w:r>
            <w:r w:rsidR="005B045F" w:rsidRPr="005776EE">
              <w:rPr>
                <w:rFonts w:ascii="Calibri" w:hAnsi="Calibri" w:cs="Calibri"/>
                <w:b/>
                <w:bCs/>
                <w:lang w:val="pl-PL"/>
              </w:rPr>
              <w:t xml:space="preserve">y odpowiedzi </w:t>
            </w:r>
            <w:r w:rsidR="005B045F" w:rsidRPr="005776EE">
              <w:rPr>
                <w:rFonts w:ascii="Calibri" w:hAnsi="Calibri" w:cs="Calibri"/>
                <w:lang w:val="pl-PL"/>
              </w:rPr>
              <w:t xml:space="preserve">(41 ze 111), posiada konkretne plany </w:t>
            </w:r>
            <w:r w:rsidR="005B045F" w:rsidRPr="005776EE">
              <w:rPr>
                <w:rFonts w:ascii="Calibri" w:hAnsi="Calibri" w:cs="Calibri"/>
                <w:b/>
                <w:bCs/>
                <w:lang w:val="pl-PL"/>
              </w:rPr>
              <w:t>wzmocnienia statystyk</w:t>
            </w:r>
            <w:r w:rsidR="00563D80" w:rsidRPr="005776EE">
              <w:rPr>
                <w:rFonts w:ascii="Calibri" w:hAnsi="Calibri" w:cs="Calibri"/>
                <w:lang w:val="pl-PL"/>
              </w:rPr>
              <w:t xml:space="preserve"> dotyczących ryzyka psychospołe</w:t>
            </w:r>
            <w:r w:rsidR="005B045F" w:rsidRPr="005776EE">
              <w:rPr>
                <w:rFonts w:ascii="Calibri" w:hAnsi="Calibri" w:cs="Calibri"/>
                <w:lang w:val="pl-PL"/>
              </w:rPr>
              <w:t xml:space="preserve">cznego i zdrowia psychicznego w pracy </w:t>
            </w:r>
            <w:r w:rsidR="00514370">
              <w:rPr>
                <w:rFonts w:ascii="Calibri" w:hAnsi="Calibri" w:cs="Calibri"/>
                <w:lang w:val="pl-PL"/>
              </w:rPr>
              <w:br/>
            </w:r>
            <w:r w:rsidR="00563D80" w:rsidRPr="00514370">
              <w:rPr>
                <w:rFonts w:ascii="Calibri" w:hAnsi="Calibri" w:cs="Calibri"/>
                <w:b/>
                <w:bCs/>
                <w:lang w:val="pl-PL"/>
              </w:rPr>
              <w:t>w ciągu najbliższych pię</w:t>
            </w:r>
            <w:r w:rsidR="005B045F" w:rsidRPr="00514370">
              <w:rPr>
                <w:rFonts w:ascii="Calibri" w:hAnsi="Calibri" w:cs="Calibri"/>
                <w:b/>
                <w:bCs/>
                <w:lang w:val="pl-PL"/>
              </w:rPr>
              <w:t>ciu lat</w:t>
            </w:r>
            <w:r w:rsidR="005B045F" w:rsidRPr="00514370">
              <w:rPr>
                <w:rFonts w:ascii="Calibri" w:hAnsi="Calibri" w:cs="Calibri"/>
                <w:lang w:val="pl-PL"/>
              </w:rPr>
              <w:t>.</w:t>
            </w:r>
          </w:p>
          <w:p w14:paraId="1C087D35" w14:textId="5DC89910" w:rsidR="000214FD" w:rsidRPr="00C30872" w:rsidRDefault="005B045F" w:rsidP="005B045F">
            <w:pPr>
              <w:pStyle w:val="KeyList"/>
              <w:numPr>
                <w:ilvl w:val="0"/>
                <w:numId w:val="27"/>
              </w:numPr>
              <w:rPr>
                <w:rFonts w:ascii="Calibri" w:hAnsi="Calibri" w:cs="Calibri"/>
                <w:lang w:val="pl-PL"/>
              </w:rPr>
            </w:pPr>
            <w:r w:rsidRPr="005776EE">
              <w:rPr>
                <w:rFonts w:ascii="Calibri" w:hAnsi="Calibri" w:cs="Calibri"/>
                <w:lang w:val="pl-PL"/>
              </w:rPr>
              <w:t xml:space="preserve">Integracja tych zagadnień w ramach ponadnarodowego </w:t>
            </w:r>
            <w:r w:rsidR="004B36AF" w:rsidRPr="005776EE">
              <w:rPr>
                <w:rFonts w:ascii="Calibri" w:hAnsi="Calibri" w:cs="Calibri"/>
                <w:lang w:val="pl-PL"/>
              </w:rPr>
              <w:t>dialogu społ</w:t>
            </w:r>
            <w:r w:rsidRPr="005776EE">
              <w:rPr>
                <w:rFonts w:ascii="Calibri" w:hAnsi="Calibri" w:cs="Calibri"/>
                <w:lang w:val="pl-PL"/>
              </w:rPr>
              <w:t xml:space="preserve">ecznego pozostaje ograniczona. Jedynie </w:t>
            </w:r>
            <w:r w:rsidRPr="005776EE">
              <w:rPr>
                <w:rFonts w:ascii="Calibri" w:hAnsi="Calibri" w:cs="Calibri"/>
                <w:b/>
                <w:bCs/>
                <w:lang w:val="pl-PL"/>
              </w:rPr>
              <w:t>18%</w:t>
            </w:r>
            <w:r w:rsidR="004B36AF" w:rsidRPr="005776EE">
              <w:rPr>
                <w:rFonts w:ascii="Calibri" w:hAnsi="Calibri" w:cs="Calibri"/>
                <w:lang w:val="pl-PL"/>
              </w:rPr>
              <w:t xml:space="preserve"> spoś</w:t>
            </w:r>
            <w:r w:rsidRPr="005776EE">
              <w:rPr>
                <w:rFonts w:ascii="Calibri" w:hAnsi="Calibri" w:cs="Calibri"/>
                <w:lang w:val="pl-PL"/>
              </w:rPr>
              <w:t xml:space="preserve">ród 338 </w:t>
            </w:r>
            <w:r w:rsidRPr="005776EE">
              <w:rPr>
                <w:rFonts w:ascii="Calibri" w:hAnsi="Calibri" w:cs="Calibri"/>
                <w:b/>
                <w:bCs/>
                <w:lang w:val="pl-PL"/>
              </w:rPr>
              <w:t>umów transgranicznych</w:t>
            </w:r>
            <w:r w:rsidRPr="005776EE">
              <w:rPr>
                <w:rFonts w:ascii="Calibri" w:hAnsi="Calibri" w:cs="Calibri"/>
                <w:lang w:val="pl-PL"/>
              </w:rPr>
              <w:t xml:space="preserve"> zarejestrowanych </w:t>
            </w:r>
            <w:r w:rsidR="00514370">
              <w:rPr>
                <w:rFonts w:ascii="Calibri" w:hAnsi="Calibri" w:cs="Calibri"/>
                <w:lang w:val="pl-PL"/>
              </w:rPr>
              <w:br/>
            </w:r>
            <w:r w:rsidRPr="00514370">
              <w:rPr>
                <w:rFonts w:ascii="Calibri" w:hAnsi="Calibri" w:cs="Calibri"/>
                <w:lang w:val="pl-PL"/>
              </w:rPr>
              <w:t>w latach 2000</w:t>
            </w:r>
            <w:r w:rsidR="005776EE">
              <w:rPr>
                <w:rFonts w:ascii="Calibri" w:hAnsi="Calibri" w:cs="Calibri"/>
                <w:lang w:val="pl-PL"/>
              </w:rPr>
              <w:t>-</w:t>
            </w:r>
            <w:r w:rsidR="004B36AF" w:rsidRPr="005776EE">
              <w:rPr>
                <w:rFonts w:ascii="Calibri" w:hAnsi="Calibri" w:cs="Calibri"/>
                <w:lang w:val="pl-PL"/>
              </w:rPr>
              <w:t>2025 w repozytorium MOP</w:t>
            </w:r>
            <w:r w:rsidR="005776EE">
              <w:rPr>
                <w:rFonts w:ascii="Calibri" w:hAnsi="Calibri" w:cs="Calibri"/>
                <w:lang w:val="pl-PL"/>
              </w:rPr>
              <w:t>,</w:t>
            </w:r>
            <w:r w:rsidR="004B36AF" w:rsidRPr="005776EE">
              <w:rPr>
                <w:rFonts w:ascii="Calibri" w:hAnsi="Calibri" w:cs="Calibri"/>
                <w:lang w:val="pl-PL"/>
              </w:rPr>
              <w:t xml:space="preserve"> dotyczącym transgranicznego dialogu społ</w:t>
            </w:r>
            <w:r w:rsidRPr="005776EE">
              <w:rPr>
                <w:rFonts w:ascii="Calibri" w:hAnsi="Calibri" w:cs="Calibri"/>
                <w:lang w:val="pl-PL"/>
              </w:rPr>
              <w:t>ecznego (CBSD)</w:t>
            </w:r>
            <w:r w:rsidR="005776EE">
              <w:rPr>
                <w:rFonts w:ascii="Calibri" w:hAnsi="Calibri" w:cs="Calibri"/>
                <w:lang w:val="pl-PL"/>
              </w:rPr>
              <w:t>,</w:t>
            </w:r>
            <w:r w:rsidRPr="005776EE">
              <w:rPr>
                <w:rFonts w:ascii="Calibri" w:hAnsi="Calibri" w:cs="Calibri"/>
                <w:lang w:val="pl-PL"/>
              </w:rPr>
              <w:t xml:space="preserve"> odnosi się wprost do </w:t>
            </w:r>
            <w:r w:rsidRPr="005776EE">
              <w:rPr>
                <w:rFonts w:ascii="Calibri" w:hAnsi="Calibri" w:cs="Calibri"/>
                <w:b/>
                <w:bCs/>
                <w:lang w:val="pl-PL"/>
              </w:rPr>
              <w:t>zdrowia psych</w:t>
            </w:r>
            <w:r w:rsidR="004B36AF" w:rsidRPr="005776EE">
              <w:rPr>
                <w:rFonts w:ascii="Calibri" w:hAnsi="Calibri" w:cs="Calibri"/>
                <w:b/>
                <w:bCs/>
                <w:lang w:val="pl-PL"/>
              </w:rPr>
              <w:t>icznego lub czynników psychospoł</w:t>
            </w:r>
            <w:r w:rsidRPr="005776EE">
              <w:rPr>
                <w:rFonts w:ascii="Calibri" w:hAnsi="Calibri" w:cs="Calibri"/>
                <w:b/>
                <w:bCs/>
                <w:lang w:val="pl-PL"/>
              </w:rPr>
              <w:t>ecznych w przepisach do</w:t>
            </w:r>
            <w:r w:rsidR="004B36AF" w:rsidRPr="005776EE">
              <w:rPr>
                <w:rFonts w:ascii="Calibri" w:hAnsi="Calibri" w:cs="Calibri"/>
                <w:b/>
                <w:bCs/>
                <w:lang w:val="pl-PL"/>
              </w:rPr>
              <w:t>tycząc</w:t>
            </w:r>
            <w:r w:rsidRPr="005776EE">
              <w:rPr>
                <w:rFonts w:ascii="Calibri" w:hAnsi="Calibri" w:cs="Calibri"/>
                <w:b/>
                <w:bCs/>
                <w:lang w:val="pl-PL"/>
              </w:rPr>
              <w:t>ych bhp.</w:t>
            </w:r>
          </w:p>
        </w:tc>
      </w:tr>
    </w:tbl>
    <w:p w14:paraId="3F44B3DE" w14:textId="77777777" w:rsidR="0003715D" w:rsidRPr="00C30872" w:rsidRDefault="0003715D" w:rsidP="00B845B0">
      <w:pPr>
        <w:pStyle w:val="NormalBody"/>
        <w:rPr>
          <w:lang w:val="pl-PL"/>
        </w:rPr>
        <w:sectPr w:rsidR="0003715D" w:rsidRPr="00C30872" w:rsidSect="003A610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552" w:right="851" w:bottom="851" w:left="851" w:header="794" w:footer="567" w:gutter="0"/>
          <w:cols w:space="284"/>
          <w:docGrid w:linePitch="360"/>
        </w:sectPr>
      </w:pPr>
    </w:p>
    <w:p w14:paraId="16FEB0B6" w14:textId="0012BBB2" w:rsidR="008A19A3" w:rsidRPr="00C30872" w:rsidRDefault="00B845B0" w:rsidP="008A19A3">
      <w:pPr>
        <w:spacing w:before="0" w:after="0" w:line="240" w:lineRule="auto"/>
        <w:rPr>
          <w:rFonts w:ascii="Overpass" w:hAnsi="Overpass"/>
          <w:b/>
          <w:bCs/>
          <w:color w:val="1E2DBE"/>
          <w:sz w:val="26"/>
          <w:szCs w:val="24"/>
          <w:lang w:val="pl-PL"/>
        </w:rPr>
      </w:pPr>
      <w:r w:rsidRPr="00C30872">
        <w:rPr>
          <w:lang w:val="pl-PL"/>
        </w:rPr>
        <w:br w:type="page"/>
      </w:r>
    </w:p>
    <w:p w14:paraId="31FFD41E" w14:textId="3E7962F5" w:rsidR="00DB4983" w:rsidRPr="00C30872" w:rsidRDefault="008A19A3" w:rsidP="00883507">
      <w:pPr>
        <w:pStyle w:val="HeadingLevel3"/>
        <w:rPr>
          <w:rFonts w:ascii="Calibri" w:hAnsi="Calibri" w:cs="Calibri"/>
          <w:lang w:val="pl-PL"/>
        </w:rPr>
      </w:pPr>
      <w:r w:rsidRPr="00C30872">
        <w:rPr>
          <w:rFonts w:ascii="Calibri" w:hAnsi="Calibri" w:cs="Calibri"/>
          <w:lang w:val="pl-PL"/>
        </w:rPr>
        <w:lastRenderedPageBreak/>
        <w:t>Czym jest psychospołeczne środowisko pracy?</w:t>
      </w:r>
    </w:p>
    <w:p w14:paraId="1F6D3B32" w14:textId="22AB7277" w:rsidR="00DB4983" w:rsidRPr="005776EE" w:rsidRDefault="00DB4983" w:rsidP="00DB4983">
      <w:pPr>
        <w:pStyle w:val="NormalBody"/>
        <w:rPr>
          <w:rFonts w:ascii="Calibri" w:hAnsi="Calibri" w:cs="Calibri"/>
          <w:lang w:val="pl-PL"/>
        </w:rPr>
      </w:pPr>
      <w:r w:rsidRPr="005776EE">
        <w:rPr>
          <w:rFonts w:ascii="Calibri" w:hAnsi="Calibri" w:cs="Calibri"/>
          <w:lang w:val="pl-PL"/>
        </w:rPr>
        <w:t xml:space="preserve">Psychospołeczne środowisko pracy obejmuje elementy pracy oraz interakcji w miejscu pracy związane z tym, w jaki sposób projektowane są stanowiska pracy, jak organizowana i zarządzana jest praca, a także szersze zasady, praktyki i procedury regulujące jej wykonywanie, jak również wzajemne powiązania między tymi elementami — wszystkie te czynniki mogą wpływać na zdrowie </w:t>
      </w:r>
      <w:r w:rsidR="005776EE">
        <w:rPr>
          <w:rFonts w:ascii="Calibri" w:hAnsi="Calibri" w:cs="Calibri"/>
          <w:lang w:val="pl-PL"/>
        </w:rPr>
        <w:br/>
      </w:r>
      <w:r w:rsidRPr="005776EE">
        <w:rPr>
          <w:rFonts w:ascii="Calibri" w:hAnsi="Calibri" w:cs="Calibri"/>
          <w:lang w:val="pl-PL"/>
        </w:rPr>
        <w:t>i dobrostan pracowników, a także na wyniki organizacji.</w:t>
      </w:r>
    </w:p>
    <w:p w14:paraId="3C84B41F" w14:textId="77777777" w:rsidR="00DB4983" w:rsidRPr="005776EE" w:rsidRDefault="00DB4983" w:rsidP="00DB4983">
      <w:pPr>
        <w:pStyle w:val="NormalBody"/>
        <w:rPr>
          <w:rFonts w:ascii="Calibri" w:hAnsi="Calibri" w:cs="Calibri"/>
          <w:lang w:val="pl-PL"/>
        </w:rPr>
      </w:pPr>
      <w:r w:rsidRPr="005776EE">
        <w:rPr>
          <w:rFonts w:ascii="Calibri" w:hAnsi="Calibri" w:cs="Calibri"/>
          <w:lang w:val="pl-PL"/>
        </w:rPr>
        <w:t>W raporcie zwrócono uwagę na zmieniający się świat pracy oraz jego konsekwencje dla psychospołecznego środowiska pracy. Cyfryzacja oraz wykorzystanie sztucznej inteligencji (AI) zmieniają sposób koordynowania, monitorowania i oceny zadań. Nowe formy zatrudnienia, w tym praca platformowa, zróżnicowane formy umów oraz rozwój pracy zdalnej i hybrydowej, na nowo definiują nadzór, oczekiwania i organizację czasu pracy. Jednocześnie szersze czynniki zewnętrzne, w tym niepewność geopolityczna, również wpływają na sposób organizacji pracy.</w:t>
      </w:r>
    </w:p>
    <w:p w14:paraId="49FEE3A0" w14:textId="77777777" w:rsidR="00DB4983" w:rsidRPr="005776EE" w:rsidRDefault="00DB4983" w:rsidP="00DB4983">
      <w:pPr>
        <w:pStyle w:val="NormalBody"/>
        <w:rPr>
          <w:rFonts w:ascii="Calibri" w:hAnsi="Calibri" w:cs="Calibri"/>
          <w:lang w:val="pl-PL"/>
        </w:rPr>
      </w:pPr>
      <w:r w:rsidRPr="005776EE">
        <w:rPr>
          <w:rFonts w:ascii="Calibri" w:hAnsi="Calibri" w:cs="Calibri"/>
          <w:lang w:val="pl-PL"/>
        </w:rPr>
        <w:t>Chociaż zmiany te mogą stwarzać możliwości wzmocnienia psychospołecznego środowiska pracy, mogą także nasilać ryzyko psychospołeczne, co podkreśla potrzebę proaktywnego zarządzania.</w:t>
      </w:r>
    </w:p>
    <w:p w14:paraId="526F4D36" w14:textId="092E9851" w:rsidR="00DB4983" w:rsidRPr="005776EE" w:rsidRDefault="00DB4983" w:rsidP="00DB4983">
      <w:pPr>
        <w:pStyle w:val="NormalBody"/>
        <w:rPr>
          <w:rFonts w:ascii="Calibri" w:hAnsi="Calibri" w:cs="Calibri"/>
          <w:lang w:val="pl-PL"/>
        </w:rPr>
      </w:pPr>
      <w:r w:rsidRPr="005776EE">
        <w:rPr>
          <w:rFonts w:ascii="Calibri" w:hAnsi="Calibri" w:cs="Calibri"/>
          <w:lang w:val="pl-PL"/>
        </w:rPr>
        <w:t xml:space="preserve">Aby wesprzeć działania zapobiegawcze, w raporcie zaproponowano wielopoziomowe podejście, </w:t>
      </w:r>
      <w:r w:rsidR="005776EE">
        <w:rPr>
          <w:rFonts w:ascii="Calibri" w:hAnsi="Calibri" w:cs="Calibri"/>
          <w:lang w:val="pl-PL"/>
        </w:rPr>
        <w:t xml:space="preserve">którego sednem są możliwe </w:t>
      </w:r>
      <w:r w:rsidRPr="005776EE">
        <w:rPr>
          <w:rFonts w:ascii="Calibri" w:hAnsi="Calibri" w:cs="Calibri"/>
          <w:lang w:val="pl-PL"/>
        </w:rPr>
        <w:t xml:space="preserve"> do zidentyfikowania </w:t>
      </w:r>
      <w:r w:rsidR="005776EE">
        <w:rPr>
          <w:rFonts w:ascii="Calibri" w:hAnsi="Calibri" w:cs="Calibri"/>
          <w:lang w:val="pl-PL"/>
        </w:rPr>
        <w:br/>
      </w:r>
      <w:r w:rsidRPr="005776EE">
        <w:rPr>
          <w:rFonts w:ascii="Calibri" w:hAnsi="Calibri" w:cs="Calibri"/>
          <w:lang w:val="pl-PL"/>
        </w:rPr>
        <w:t>i modyfikacji cech</w:t>
      </w:r>
      <w:r w:rsidR="005776EE">
        <w:rPr>
          <w:rFonts w:ascii="Calibri" w:hAnsi="Calibri" w:cs="Calibri"/>
          <w:lang w:val="pl-PL"/>
        </w:rPr>
        <w:t>y</w:t>
      </w:r>
      <w:r w:rsidRPr="005776EE">
        <w:rPr>
          <w:rFonts w:ascii="Calibri" w:hAnsi="Calibri" w:cs="Calibri"/>
          <w:lang w:val="pl-PL"/>
        </w:rPr>
        <w:t xml:space="preserve"> środowiska pracy. Podkreślono aspekty, którymi — o ile jest to racjonalnie wykonalne — można zarządzać </w:t>
      </w:r>
      <w:r w:rsidR="005776EE">
        <w:rPr>
          <w:rFonts w:ascii="Calibri" w:hAnsi="Calibri" w:cs="Calibri"/>
          <w:lang w:val="pl-PL"/>
        </w:rPr>
        <w:br/>
      </w:r>
      <w:r w:rsidRPr="005776EE">
        <w:rPr>
          <w:rFonts w:ascii="Calibri" w:hAnsi="Calibri" w:cs="Calibri"/>
          <w:lang w:val="pl-PL"/>
        </w:rPr>
        <w:t>w celu ograniczenia ryzyka oraz wspierania zdrowej i produktywnej pracy. W tym kontekście zidentyfikowano trzy powiązane ze sobą poziomy psychospołecznego środowiska pracy:</w:t>
      </w:r>
    </w:p>
    <w:p w14:paraId="398640D8" w14:textId="58D0DE31" w:rsidR="006E3182" w:rsidRPr="005776EE" w:rsidRDefault="006E3182" w:rsidP="002C35F6">
      <w:pPr>
        <w:pStyle w:val="KeyList"/>
        <w:numPr>
          <w:ilvl w:val="0"/>
          <w:numId w:val="27"/>
        </w:numPr>
        <w:rPr>
          <w:rFonts w:ascii="Calibri" w:hAnsi="Calibri" w:cs="Calibri"/>
          <w:lang w:val="pl-PL"/>
        </w:rPr>
      </w:pPr>
      <w:r w:rsidRPr="005776EE">
        <w:rPr>
          <w:rFonts w:ascii="Calibri" w:hAnsi="Calibri" w:cs="Calibri"/>
          <w:b/>
          <w:bCs/>
          <w:lang w:val="pl-PL"/>
        </w:rPr>
        <w:t>Stanowisko pracy</w:t>
      </w:r>
      <w:r w:rsidRPr="005776EE">
        <w:rPr>
          <w:rFonts w:ascii="Calibri" w:hAnsi="Calibri" w:cs="Calibri"/>
          <w:lang w:val="pl-PL"/>
        </w:rPr>
        <w:t xml:space="preserve"> – nieodłączne cechy zadań i obowiązków, </w:t>
      </w:r>
      <w:r w:rsidR="002C35F6" w:rsidRPr="005776EE">
        <w:rPr>
          <w:rFonts w:ascii="Calibri" w:hAnsi="Calibri" w:cs="Calibri"/>
          <w:lang w:val="pl-PL"/>
        </w:rPr>
        <w:t xml:space="preserve">   </w:t>
      </w:r>
      <w:r w:rsidRPr="005776EE">
        <w:rPr>
          <w:rFonts w:ascii="Calibri" w:hAnsi="Calibri" w:cs="Calibri"/>
          <w:lang w:val="pl-PL"/>
        </w:rPr>
        <w:t xml:space="preserve">w tym wymagania związane z pracą, dopasowanie do umiejętności pracowników, dostęp do zasobów oraz cechy projektowania zadań, takie jak ich znaczenie, różnorodność </w:t>
      </w:r>
      <w:r w:rsidR="005776EE">
        <w:rPr>
          <w:rFonts w:ascii="Calibri" w:hAnsi="Calibri" w:cs="Calibri"/>
          <w:lang w:val="pl-PL"/>
        </w:rPr>
        <w:br/>
      </w:r>
      <w:r w:rsidRPr="005776EE">
        <w:rPr>
          <w:rFonts w:ascii="Calibri" w:hAnsi="Calibri" w:cs="Calibri"/>
          <w:lang w:val="pl-PL"/>
        </w:rPr>
        <w:t>i wykorzystanie umiejętności.</w:t>
      </w:r>
    </w:p>
    <w:p w14:paraId="6E7280FF" w14:textId="77777777" w:rsidR="006E3182" w:rsidRPr="005776EE" w:rsidRDefault="006E3182" w:rsidP="006E3182">
      <w:pPr>
        <w:pStyle w:val="KeyList"/>
        <w:numPr>
          <w:ilvl w:val="0"/>
          <w:numId w:val="27"/>
        </w:numPr>
        <w:rPr>
          <w:rFonts w:ascii="Calibri" w:hAnsi="Calibri" w:cs="Calibri"/>
          <w:lang w:val="pl-PL"/>
        </w:rPr>
      </w:pPr>
      <w:r w:rsidRPr="005776EE">
        <w:rPr>
          <w:rFonts w:ascii="Calibri" w:hAnsi="Calibri" w:cs="Calibri"/>
          <w:b/>
          <w:bCs/>
          <w:lang w:val="pl-PL"/>
        </w:rPr>
        <w:t>Sposób zarządzania i organizacji pracy</w:t>
      </w:r>
      <w:r w:rsidRPr="005776EE">
        <w:rPr>
          <w:rFonts w:ascii="Calibri" w:hAnsi="Calibri" w:cs="Calibri"/>
          <w:lang w:val="pl-PL"/>
        </w:rPr>
        <w:t xml:space="preserve"> – sposób, w jaki praca jest zorganizowana i jak wygląda w praktyce, w tym jasność ról, autonomia, obciążenie i tempo pracy, nadzór, wsparcie społeczne oraz jakość interakcji w miejscu pracy.</w:t>
      </w:r>
    </w:p>
    <w:p w14:paraId="08187E5E" w14:textId="5B927C04" w:rsidR="006E3182" w:rsidRPr="005776EE" w:rsidRDefault="006E3182" w:rsidP="00B845B0">
      <w:pPr>
        <w:pStyle w:val="KeyList"/>
        <w:numPr>
          <w:ilvl w:val="0"/>
          <w:numId w:val="27"/>
        </w:numPr>
        <w:rPr>
          <w:rFonts w:ascii="Calibri" w:hAnsi="Calibri" w:cs="Calibri"/>
          <w:lang w:val="pl-PL"/>
        </w:rPr>
      </w:pPr>
      <w:r w:rsidRPr="005776EE">
        <w:rPr>
          <w:rFonts w:ascii="Calibri" w:hAnsi="Calibri" w:cs="Calibri"/>
          <w:b/>
          <w:bCs/>
          <w:lang w:val="pl-PL"/>
        </w:rPr>
        <w:t>Szersze zasady, praktyki i procedury regulujące pracę</w:t>
      </w:r>
      <w:r w:rsidRPr="005776EE">
        <w:rPr>
          <w:rFonts w:ascii="Calibri" w:hAnsi="Calibri" w:cs="Calibri"/>
          <w:lang w:val="pl-PL"/>
        </w:rPr>
        <w:t xml:space="preserve"> – systemy organizacyjne i instytucjonalne kształtujące warunki zatrudnienia, organizację czasu pracy, zmiany organizacyjne, monitorowanie cyfrowe, procesy oceny wyników </w:t>
      </w:r>
      <w:r w:rsidR="005776EE">
        <w:rPr>
          <w:rFonts w:ascii="Calibri" w:hAnsi="Calibri" w:cs="Calibri"/>
          <w:lang w:val="pl-PL"/>
        </w:rPr>
        <w:br/>
      </w:r>
      <w:r w:rsidRPr="005776EE">
        <w:rPr>
          <w:rFonts w:ascii="Calibri" w:hAnsi="Calibri" w:cs="Calibri"/>
          <w:lang w:val="pl-PL"/>
        </w:rPr>
        <w:t>i wynagradzania, politykę bhp i systemy zarządzania, procedury zapobiegania przemocy i molestowaniu oraz mechanizmy konsultacji i udziału pracowników.</w:t>
      </w:r>
    </w:p>
    <w:p w14:paraId="27C6A951" w14:textId="5783BBBE" w:rsidR="006E3182" w:rsidRPr="005776EE" w:rsidRDefault="006E3182" w:rsidP="006E3182">
      <w:pPr>
        <w:pStyle w:val="NormalBody"/>
        <w:rPr>
          <w:rFonts w:ascii="Calibri" w:hAnsi="Calibri" w:cs="Calibri"/>
          <w:lang w:val="pl-PL"/>
        </w:rPr>
      </w:pPr>
      <w:r w:rsidRPr="005776EE">
        <w:rPr>
          <w:rFonts w:ascii="Calibri" w:hAnsi="Calibri" w:cs="Calibri"/>
          <w:lang w:val="pl-PL"/>
        </w:rPr>
        <w:t xml:space="preserve">Poziomy te obejmują szereg czynników psychospołecznych, </w:t>
      </w:r>
      <w:r w:rsidR="00514370">
        <w:rPr>
          <w:rFonts w:ascii="Calibri" w:hAnsi="Calibri" w:cs="Calibri"/>
          <w:lang w:val="pl-PL"/>
        </w:rPr>
        <w:br/>
      </w:r>
      <w:r w:rsidRPr="00514370">
        <w:rPr>
          <w:rFonts w:ascii="Calibri" w:hAnsi="Calibri" w:cs="Calibri"/>
          <w:lang w:val="pl-PL"/>
        </w:rPr>
        <w:t>które odzwierciedlają podstawowe cechy środowiska pracy we wszystkich formach zatrudnienia i warunkach pracy. To, w jaki sposób czynnik</w:t>
      </w:r>
      <w:r w:rsidRPr="005776EE">
        <w:rPr>
          <w:rFonts w:ascii="Calibri" w:hAnsi="Calibri" w:cs="Calibri"/>
          <w:lang w:val="pl-PL"/>
        </w:rPr>
        <w:t>i te funkcjonują i oddziałują na siebie w konkretnych kontekstach, decyduje o tym, czy sprzyjają zdrowiu i efektywności pracy, czy też prowadzą do powstawania zagrożeń psychospołecznych i niekorzystnych skutków.</w:t>
      </w:r>
    </w:p>
    <w:p w14:paraId="0B5A5B86" w14:textId="77777777" w:rsidR="006E3182" w:rsidRPr="005776EE" w:rsidRDefault="006E3182" w:rsidP="006E3182">
      <w:pPr>
        <w:pStyle w:val="NormalBody"/>
        <w:rPr>
          <w:rFonts w:ascii="Calibri" w:hAnsi="Calibri" w:cs="Calibri"/>
          <w:lang w:val="pl-PL"/>
        </w:rPr>
      </w:pPr>
      <w:r w:rsidRPr="005776EE">
        <w:rPr>
          <w:rFonts w:ascii="Calibri" w:hAnsi="Calibri" w:cs="Calibri"/>
          <w:lang w:val="pl-PL"/>
        </w:rPr>
        <w:t xml:space="preserve">Wnioski te znajdują potwierdzenie w wynikach badań z zakresu epidemiologii, psychologii organizacji, ekonomii pracy oraz </w:t>
      </w:r>
      <w:r w:rsidRPr="005776EE">
        <w:rPr>
          <w:rFonts w:ascii="Calibri" w:hAnsi="Calibri" w:cs="Calibri"/>
          <w:lang w:val="pl-PL"/>
        </w:rPr>
        <w:t>medycyny pracy. Chociaż dostępne dane podlegają ograniczeniom metodologicznym i cechują się nierównomiernym zasięgiem geograficznym, wskazują one, że ryzyko psychospołeczne jest zjawiskiem powszechnym.</w:t>
      </w:r>
    </w:p>
    <w:p w14:paraId="7665D82D" w14:textId="06BF016F" w:rsidR="00416DB3" w:rsidRPr="00C30872" w:rsidRDefault="006E3182" w:rsidP="003E15DB">
      <w:pPr>
        <w:pStyle w:val="NormalBody"/>
        <w:ind w:left="360"/>
        <w:rPr>
          <w:rFonts w:ascii="Calibri" w:hAnsi="Calibri" w:cs="Calibri"/>
          <w:lang w:val="pl-PL"/>
        </w:rPr>
      </w:pPr>
      <w:r w:rsidRPr="005776EE">
        <w:rPr>
          <w:rFonts w:ascii="Calibri" w:hAnsi="Calibri" w:cs="Calibri"/>
          <w:lang w:val="pl-PL"/>
        </w:rPr>
        <w:t xml:space="preserve">Niektóre środowiska pracy oraz różnorodne formy zatrudnienia, w tym gospodarka nieformalna </w:t>
      </w:r>
      <w:r w:rsidR="005776EE">
        <w:rPr>
          <w:rFonts w:ascii="Calibri" w:hAnsi="Calibri" w:cs="Calibri"/>
          <w:lang w:val="pl-PL"/>
        </w:rPr>
        <w:br/>
      </w:r>
      <w:r w:rsidRPr="005776EE">
        <w:rPr>
          <w:rFonts w:ascii="Calibri" w:hAnsi="Calibri" w:cs="Calibri"/>
          <w:lang w:val="pl-PL"/>
        </w:rPr>
        <w:t>i samozatrudnienie, a także specyficzne uwarunkowania sektorowe, mogą zwiększać poziom narażenia</w:t>
      </w:r>
      <w:r w:rsidR="003E15DB" w:rsidRPr="005776EE">
        <w:rPr>
          <w:rFonts w:ascii="Calibri" w:hAnsi="Calibri" w:cs="Calibri"/>
          <w:lang w:val="pl-PL"/>
        </w:rPr>
        <w:t xml:space="preserve"> na niepożądane zachowania</w:t>
      </w:r>
      <w:r w:rsidRPr="005776EE">
        <w:rPr>
          <w:rFonts w:ascii="Calibri" w:hAnsi="Calibri" w:cs="Calibri"/>
          <w:lang w:val="pl-PL"/>
        </w:rPr>
        <w:t>. Pomimo tych ograniczeń badania konsekwentnie wskazują, że niekorzystne psychospołeczne środowisko pracy wiąże się z negatywnymi skutkami zdrowotnymi oraz niekorzystnym wpływem na funkcjonowanie organizacji</w:t>
      </w:r>
      <w:r w:rsidR="005776EE">
        <w:rPr>
          <w:rFonts w:ascii="Calibri" w:hAnsi="Calibri" w:cs="Calibri"/>
          <w:lang w:val="pl-PL"/>
        </w:rPr>
        <w:t>.</w:t>
      </w:r>
    </w:p>
    <w:p w14:paraId="2AD39540" w14:textId="52581010" w:rsidR="0032002B" w:rsidRPr="005776EE" w:rsidRDefault="00416DB3" w:rsidP="00416DB3">
      <w:pPr>
        <w:pStyle w:val="NormalBody"/>
        <w:rPr>
          <w:rFonts w:ascii="Calibri" w:hAnsi="Calibri" w:cs="Calibri"/>
          <w:b/>
          <w:bCs/>
          <w:color w:val="1E2DBE"/>
          <w:sz w:val="28"/>
          <w:szCs w:val="28"/>
          <w:lang w:val="pl-PL"/>
        </w:rPr>
      </w:pPr>
      <w:r w:rsidRPr="005776EE">
        <w:rPr>
          <w:rFonts w:ascii="Calibri" w:hAnsi="Calibri" w:cs="Calibri"/>
          <w:b/>
          <w:bCs/>
          <w:color w:val="1E2DBE"/>
          <w:sz w:val="28"/>
          <w:szCs w:val="28"/>
          <w:lang w:val="pl-PL"/>
        </w:rPr>
        <w:t>Zestawienie ram prawnych i polityk dotyczących przeciwdziałania zagrożeniom psychospołecznym</w:t>
      </w:r>
    </w:p>
    <w:p w14:paraId="1868658A" w14:textId="2958C7FA" w:rsidR="00F626D2" w:rsidRPr="005776EE" w:rsidRDefault="00F626D2" w:rsidP="00F626D2">
      <w:pPr>
        <w:pStyle w:val="NormalBody"/>
        <w:rPr>
          <w:rFonts w:ascii="Calibri" w:hAnsi="Calibri" w:cs="Calibri"/>
          <w:lang w:val="pl-PL"/>
        </w:rPr>
      </w:pPr>
      <w:r w:rsidRPr="005776EE">
        <w:rPr>
          <w:rFonts w:ascii="Calibri" w:hAnsi="Calibri" w:cs="Calibri"/>
          <w:b/>
          <w:bCs/>
          <w:lang w:val="pl-PL"/>
        </w:rPr>
        <w:t>Normy MOP w zakresie bezpieczeństwa i higieny pracy</w:t>
      </w:r>
      <w:r w:rsidRPr="005776EE">
        <w:rPr>
          <w:rFonts w:ascii="Calibri" w:hAnsi="Calibri" w:cs="Calibri"/>
          <w:lang w:val="pl-PL"/>
        </w:rPr>
        <w:t xml:space="preserve"> stanowią solidną podstawę normatywną </w:t>
      </w:r>
      <w:r w:rsidR="005776EE">
        <w:rPr>
          <w:rFonts w:ascii="Calibri" w:hAnsi="Calibri" w:cs="Calibri"/>
          <w:lang w:val="pl-PL"/>
        </w:rPr>
        <w:t>do</w:t>
      </w:r>
      <w:r w:rsidR="005776EE" w:rsidRPr="005776EE">
        <w:rPr>
          <w:rFonts w:ascii="Calibri" w:hAnsi="Calibri" w:cs="Calibri"/>
          <w:lang w:val="pl-PL"/>
        </w:rPr>
        <w:t xml:space="preserve"> </w:t>
      </w:r>
      <w:r w:rsidRPr="005776EE">
        <w:rPr>
          <w:rFonts w:ascii="Calibri" w:hAnsi="Calibri" w:cs="Calibri"/>
          <w:lang w:val="pl-PL"/>
        </w:rPr>
        <w:t xml:space="preserve">przeciwdziałania zagrożeniom psychospołecznym oraz ochrony zdrowia fizycznego </w:t>
      </w:r>
      <w:r w:rsidR="005776EE">
        <w:rPr>
          <w:rFonts w:ascii="Calibri" w:hAnsi="Calibri" w:cs="Calibri"/>
          <w:lang w:val="pl-PL"/>
        </w:rPr>
        <w:br/>
      </w:r>
      <w:r w:rsidRPr="005776EE">
        <w:rPr>
          <w:rFonts w:ascii="Calibri" w:hAnsi="Calibri" w:cs="Calibri"/>
          <w:lang w:val="pl-PL"/>
        </w:rPr>
        <w:t xml:space="preserve">i psychicznego pracowników. Chociaż podstawowe instrumenty dotyczące bhp nie odnoszą się wprost do zagrożeń psychospołecznych, zapewniają one niezbędne podstawy </w:t>
      </w:r>
      <w:r w:rsidR="005776EE">
        <w:rPr>
          <w:rFonts w:ascii="Calibri" w:hAnsi="Calibri" w:cs="Calibri"/>
          <w:lang w:val="pl-PL"/>
        </w:rPr>
        <w:t>do</w:t>
      </w:r>
      <w:r w:rsidRPr="005776EE">
        <w:rPr>
          <w:rFonts w:ascii="Calibri" w:hAnsi="Calibri" w:cs="Calibri"/>
          <w:lang w:val="pl-PL"/>
        </w:rPr>
        <w:t xml:space="preserve"> kompleksowych i prewencyjnych polityk oraz systemów bhp na poziomie krajowym i przedsiębiorstw.</w:t>
      </w:r>
    </w:p>
    <w:p w14:paraId="45ACEB7D" w14:textId="02E99D7E" w:rsidR="00F626D2" w:rsidRPr="00C30872" w:rsidRDefault="00F626D2" w:rsidP="00B845B0">
      <w:pPr>
        <w:pStyle w:val="NormalBody"/>
        <w:rPr>
          <w:rFonts w:ascii="Calibri" w:hAnsi="Calibri" w:cs="Calibri"/>
          <w:b/>
          <w:bCs/>
          <w:lang w:val="pl-PL"/>
        </w:rPr>
      </w:pPr>
      <w:r w:rsidRPr="005776EE">
        <w:rPr>
          <w:rFonts w:ascii="Calibri" w:hAnsi="Calibri" w:cs="Calibri"/>
          <w:lang w:val="pl-PL"/>
        </w:rPr>
        <w:t xml:space="preserve">Konwencja nr 190 z 2019 r. dotycząca eliminacji przemocy </w:t>
      </w:r>
      <w:r w:rsidR="005776EE">
        <w:rPr>
          <w:rFonts w:ascii="Calibri" w:hAnsi="Calibri" w:cs="Calibri"/>
          <w:lang w:val="pl-PL"/>
        </w:rPr>
        <w:br/>
      </w:r>
      <w:r w:rsidRPr="005776EE">
        <w:rPr>
          <w:rFonts w:ascii="Calibri" w:hAnsi="Calibri" w:cs="Calibri"/>
          <w:lang w:val="pl-PL"/>
        </w:rPr>
        <w:t>i molestowania jest pierwszym instrumentem MOP, który wprost odnosi się do zagrożeń psychospołecznych poprzez ustanowienie kompleksowych ram obowiązków prewencyjnych i ochronnych. Inne normy dodatkowo wzmacniają system zapobiegania tym zagrożeniom oraz zarządzania nimi.</w:t>
      </w:r>
    </w:p>
    <w:p w14:paraId="4C1F6E6A" w14:textId="77777777" w:rsidR="00F626D2" w:rsidRPr="005776EE" w:rsidRDefault="00F626D2" w:rsidP="00F626D2">
      <w:pPr>
        <w:pStyle w:val="NormalBody"/>
        <w:rPr>
          <w:rFonts w:ascii="Calibri" w:hAnsi="Calibri" w:cs="Calibri"/>
          <w:lang w:val="pl-PL"/>
        </w:rPr>
      </w:pPr>
      <w:r w:rsidRPr="005776EE">
        <w:rPr>
          <w:rFonts w:ascii="Calibri" w:hAnsi="Calibri" w:cs="Calibri"/>
          <w:lang w:val="pl-PL"/>
        </w:rPr>
        <w:t xml:space="preserve">Przegląd przeprowadzony w niniejszym raporcie wskazuje, że </w:t>
      </w:r>
      <w:r w:rsidRPr="005776EE">
        <w:rPr>
          <w:rFonts w:ascii="Calibri" w:hAnsi="Calibri" w:cs="Calibri"/>
          <w:b/>
          <w:bCs/>
          <w:lang w:val="pl-PL"/>
        </w:rPr>
        <w:t>ramy regionalne</w:t>
      </w:r>
      <w:r w:rsidRPr="005776EE">
        <w:rPr>
          <w:rFonts w:ascii="Calibri" w:hAnsi="Calibri" w:cs="Calibri"/>
          <w:lang w:val="pl-PL"/>
        </w:rPr>
        <w:t xml:space="preserve"> w coraz większym stopniu uwzględniają zagrożenia psychospołeczne w szerszych systemach bhp, choć zakres i poziom szczegółowości regulacji różnią się między regionami.</w:t>
      </w:r>
    </w:p>
    <w:p w14:paraId="6CDBAF59" w14:textId="4DFC8435" w:rsidR="00F626D2" w:rsidRPr="005776EE" w:rsidRDefault="00F626D2" w:rsidP="00F626D2">
      <w:pPr>
        <w:pStyle w:val="NormalBody"/>
        <w:rPr>
          <w:rFonts w:ascii="Calibri" w:hAnsi="Calibri" w:cs="Calibri"/>
          <w:lang w:val="pl-PL"/>
        </w:rPr>
      </w:pPr>
      <w:r w:rsidRPr="005776EE">
        <w:rPr>
          <w:rFonts w:ascii="Calibri" w:hAnsi="Calibri" w:cs="Calibri"/>
          <w:lang w:val="pl-PL"/>
        </w:rPr>
        <w:t xml:space="preserve">Niektóre instrumenty wprost identyfikują </w:t>
      </w:r>
      <w:r w:rsidR="005776EE">
        <w:rPr>
          <w:rFonts w:ascii="Calibri" w:hAnsi="Calibri" w:cs="Calibri"/>
          <w:lang w:val="pl-PL"/>
        </w:rPr>
        <w:t xml:space="preserve">takie </w:t>
      </w:r>
      <w:r w:rsidRPr="005776EE">
        <w:rPr>
          <w:rFonts w:ascii="Calibri" w:hAnsi="Calibri" w:cs="Calibri"/>
          <w:lang w:val="pl-PL"/>
        </w:rPr>
        <w:t>czynniki ryzyka,  jak przemoc i molestowanie, podczas gdy inne odnoszą się do ryzyka psychospołecznego poprzez szersze odniesienia do zdrowia psychicznego, organizacji pracy i warunków pracy. We wszystkich regionach podkreśla się znaczenie działań prewencyjnych oraz rolę organizacyjnych aspektów pracy jako kluczowych determinantów ryzyka psychospołecznego.</w:t>
      </w:r>
    </w:p>
    <w:p w14:paraId="357B0945" w14:textId="6CC5238C" w:rsidR="00F626D2" w:rsidRPr="005776EE" w:rsidRDefault="00F626D2" w:rsidP="00B845B0">
      <w:pPr>
        <w:pStyle w:val="NormalBody"/>
        <w:rPr>
          <w:rFonts w:ascii="Calibri" w:hAnsi="Calibri" w:cs="Calibri"/>
          <w:lang w:val="pl-PL"/>
        </w:rPr>
      </w:pPr>
      <w:r w:rsidRPr="005776EE">
        <w:rPr>
          <w:rFonts w:ascii="Calibri" w:hAnsi="Calibri" w:cs="Calibri"/>
          <w:lang w:val="pl-PL"/>
        </w:rPr>
        <w:t xml:space="preserve">Najnowsze inicjatywy odzwierciedlają również rosnące zainteresowanie nowymi kontekstami, w tym sztuczną inteligencją </w:t>
      </w:r>
      <w:r w:rsidR="005776EE">
        <w:rPr>
          <w:rFonts w:ascii="Calibri" w:hAnsi="Calibri" w:cs="Calibri"/>
          <w:lang w:val="pl-PL"/>
        </w:rPr>
        <w:br/>
      </w:r>
      <w:r w:rsidRPr="005776EE">
        <w:rPr>
          <w:rFonts w:ascii="Calibri" w:hAnsi="Calibri" w:cs="Calibri"/>
          <w:lang w:val="pl-PL"/>
        </w:rPr>
        <w:t xml:space="preserve">i gospodarką platformową, a także rozwój wytycznych </w:t>
      </w:r>
      <w:r w:rsidR="005776EE">
        <w:rPr>
          <w:rFonts w:ascii="Calibri" w:hAnsi="Calibri" w:cs="Calibri"/>
          <w:lang w:val="pl-PL"/>
        </w:rPr>
        <w:br/>
      </w:r>
      <w:r w:rsidRPr="005776EE">
        <w:rPr>
          <w:rFonts w:ascii="Calibri" w:hAnsi="Calibri" w:cs="Calibri"/>
          <w:lang w:val="pl-PL"/>
        </w:rPr>
        <w:t>i praktycznych narzędzi.</w:t>
      </w:r>
    </w:p>
    <w:p w14:paraId="57D8C698" w14:textId="046BB588" w:rsidR="00F626D2" w:rsidRPr="005776EE" w:rsidRDefault="00F626D2" w:rsidP="00F626D2">
      <w:pPr>
        <w:pStyle w:val="NormalBody"/>
        <w:rPr>
          <w:rFonts w:ascii="Calibri" w:hAnsi="Calibri" w:cs="Calibri"/>
          <w:lang w:val="pl-PL"/>
        </w:rPr>
      </w:pPr>
      <w:r w:rsidRPr="005776EE">
        <w:rPr>
          <w:rFonts w:ascii="Calibri" w:hAnsi="Calibri" w:cs="Calibri"/>
          <w:lang w:val="pl-PL"/>
        </w:rPr>
        <w:t xml:space="preserve">Przegląd </w:t>
      </w:r>
      <w:r w:rsidRPr="005776EE">
        <w:rPr>
          <w:rFonts w:ascii="Calibri" w:hAnsi="Calibri" w:cs="Calibri"/>
          <w:b/>
          <w:bCs/>
          <w:lang w:val="pl-PL"/>
        </w:rPr>
        <w:t>krajowych polityk i programów w zakresie bezpieczeństwa i higieny pracy</w:t>
      </w:r>
      <w:r w:rsidRPr="005776EE">
        <w:rPr>
          <w:rFonts w:ascii="Calibri" w:hAnsi="Calibri" w:cs="Calibri"/>
          <w:lang w:val="pl-PL"/>
        </w:rPr>
        <w:t xml:space="preserve"> wskazuje na rosnącą świadomość znaczenia zapobiegania zagrożeniom psychospołecznym jako priorytetu na poziomie krajowym we wszystkich regionach. </w:t>
      </w:r>
      <w:r w:rsidR="005776EE">
        <w:rPr>
          <w:rFonts w:ascii="Calibri" w:hAnsi="Calibri" w:cs="Calibri"/>
          <w:lang w:val="pl-PL"/>
        </w:rPr>
        <w:br/>
      </w:r>
      <w:r w:rsidRPr="005776EE">
        <w:rPr>
          <w:rFonts w:ascii="Calibri" w:hAnsi="Calibri" w:cs="Calibri"/>
          <w:lang w:val="pl-PL"/>
        </w:rPr>
        <w:t>Polityki te promują działania mające na celu zapobieganie ryzyku psychospołecznemu oraz jego ograniczanie, m.in. poprzez monitorowanie, szkolenia oraz stosowanie zweryfikowanych narzędzi do oceny i interwencji.</w:t>
      </w:r>
    </w:p>
    <w:p w14:paraId="32479ECB" w14:textId="77777777" w:rsidR="00F626D2" w:rsidRPr="005776EE" w:rsidRDefault="00F626D2" w:rsidP="00F626D2">
      <w:pPr>
        <w:pStyle w:val="NormalBody"/>
        <w:rPr>
          <w:rFonts w:ascii="Calibri" w:hAnsi="Calibri" w:cs="Calibri"/>
          <w:lang w:val="pl-PL"/>
        </w:rPr>
      </w:pPr>
      <w:r w:rsidRPr="005776EE">
        <w:rPr>
          <w:rFonts w:ascii="Calibri" w:hAnsi="Calibri" w:cs="Calibri"/>
          <w:lang w:val="pl-PL"/>
        </w:rPr>
        <w:t xml:space="preserve">W wielu przypadkach są one powiązane z szerszymi strategiami krajowymi promującymi zdrowie i dobrostan, zwłaszcza w obszarze </w:t>
      </w:r>
      <w:r w:rsidRPr="005776EE">
        <w:rPr>
          <w:rFonts w:ascii="Calibri" w:hAnsi="Calibri" w:cs="Calibri"/>
          <w:lang w:val="pl-PL"/>
        </w:rPr>
        <w:lastRenderedPageBreak/>
        <w:t>zdrowia psychicznego. W niektórych krajach działania prewencyjne są wzmacniane dzięki koordynacji między instytucjami odpowiedzialnymi za zdrowie i pracę, podejściom międzysektorowym oraz zaangażowaniu partnerów społecznych.</w:t>
      </w:r>
    </w:p>
    <w:p w14:paraId="00A3A8F8" w14:textId="0E1F60B1" w:rsidR="00F626D2" w:rsidRPr="005776EE" w:rsidRDefault="00F626D2" w:rsidP="00F626D2">
      <w:pPr>
        <w:pStyle w:val="NormalBody"/>
        <w:rPr>
          <w:rFonts w:ascii="Calibri" w:hAnsi="Calibri" w:cs="Calibri"/>
          <w:lang w:val="pl-PL"/>
        </w:rPr>
      </w:pPr>
      <w:r w:rsidRPr="005776EE">
        <w:rPr>
          <w:rFonts w:ascii="Calibri" w:hAnsi="Calibri" w:cs="Calibri"/>
          <w:b/>
          <w:bCs/>
          <w:lang w:val="pl-PL"/>
        </w:rPr>
        <w:t>Ustawodawstwo krajowe</w:t>
      </w:r>
      <w:r w:rsidRPr="005776EE">
        <w:rPr>
          <w:rFonts w:ascii="Calibri" w:hAnsi="Calibri" w:cs="Calibri"/>
          <w:lang w:val="pl-PL"/>
        </w:rPr>
        <w:t xml:space="preserve"> wskazuje na stopniowe odchodzenie od ujmowania obowiązków pracodawcy przede wszystkim </w:t>
      </w:r>
      <w:r w:rsidR="005776EE">
        <w:rPr>
          <w:rFonts w:ascii="Calibri" w:hAnsi="Calibri" w:cs="Calibri"/>
          <w:lang w:val="pl-PL"/>
        </w:rPr>
        <w:br/>
      </w:r>
      <w:r w:rsidRPr="005776EE">
        <w:rPr>
          <w:rFonts w:ascii="Calibri" w:hAnsi="Calibri" w:cs="Calibri"/>
          <w:lang w:val="pl-PL"/>
        </w:rPr>
        <w:t>w kategoriach ochrony „zdrowia psychicznego”, co może sprzyjać podejściu zindywidualizowanemu, na rzecz ram prewencyjnych, które wyraźnie uwzględniają ryzyko psychospołeczne. Wiele krajów definiuje obecnie te zagrożenia i reguluje je poprzez przepisy dotyczące organizacji pracy, oceny ryzyka oraz oceny skuteczności środków zapobiegawczych, choć zakres i stopień szczegółowości tych regulacji znacznie się różnią.</w:t>
      </w:r>
    </w:p>
    <w:p w14:paraId="5A156300" w14:textId="414176F8" w:rsidR="0032002B" w:rsidRPr="00C30872" w:rsidRDefault="0032002B" w:rsidP="00B845B0">
      <w:pPr>
        <w:pStyle w:val="NormalBody"/>
        <w:rPr>
          <w:rFonts w:ascii="Calibri" w:hAnsi="Calibri" w:cs="Calibri"/>
          <w:lang w:val="pl-PL"/>
        </w:rPr>
      </w:pPr>
    </w:p>
    <w:p w14:paraId="16154F54" w14:textId="5D6F6D49" w:rsidR="00F626D2" w:rsidRPr="005776EE" w:rsidRDefault="00F626D2" w:rsidP="00F626D2">
      <w:pPr>
        <w:pStyle w:val="NormalBody"/>
        <w:rPr>
          <w:rFonts w:ascii="Calibri" w:hAnsi="Calibri" w:cs="Calibri"/>
          <w:lang w:val="pl-PL"/>
        </w:rPr>
      </w:pPr>
      <w:r w:rsidRPr="005776EE">
        <w:rPr>
          <w:rFonts w:ascii="Calibri" w:hAnsi="Calibri" w:cs="Calibri"/>
          <w:b/>
          <w:bCs/>
          <w:lang w:val="pl-PL"/>
        </w:rPr>
        <w:t>Negocjacje zbiorowe oraz dialog społeczny</w:t>
      </w:r>
      <w:r w:rsidRPr="005776EE">
        <w:rPr>
          <w:rFonts w:ascii="Calibri" w:hAnsi="Calibri" w:cs="Calibri"/>
          <w:lang w:val="pl-PL"/>
        </w:rPr>
        <w:t xml:space="preserve"> odgrywają istotną </w:t>
      </w:r>
      <w:r w:rsidR="00514370">
        <w:rPr>
          <w:rFonts w:ascii="Calibri" w:hAnsi="Calibri" w:cs="Calibri"/>
          <w:lang w:val="pl-PL"/>
        </w:rPr>
        <w:br/>
      </w:r>
      <w:r w:rsidRPr="005776EE">
        <w:rPr>
          <w:rFonts w:ascii="Calibri" w:hAnsi="Calibri" w:cs="Calibri"/>
          <w:lang w:val="pl-PL"/>
        </w:rPr>
        <w:t xml:space="preserve">rolę w przekładaniu przepisów prawa na działania na poziomie sektorowym i zakładowym. Analiza umów transgranicznych wskazuje jednak, że w przepisach dotyczących bhp nadal stosunkowo rzadko uwzględnia się wprost zdrowie psychiczne </w:t>
      </w:r>
      <w:r w:rsidR="005776EE">
        <w:rPr>
          <w:rFonts w:ascii="Calibri" w:hAnsi="Calibri" w:cs="Calibri"/>
          <w:lang w:val="pl-PL"/>
        </w:rPr>
        <w:br/>
      </w:r>
      <w:r w:rsidRPr="005776EE">
        <w:rPr>
          <w:rFonts w:ascii="Calibri" w:hAnsi="Calibri" w:cs="Calibri"/>
          <w:lang w:val="pl-PL"/>
        </w:rPr>
        <w:t xml:space="preserve">i czynniki psychospołeczne — jedynie 18% spośród 338 umów zarejestrowanych w latach 2000–2025 w repozytorium MOP dotyczącym transgranicznego dialogu społecznego (CBSD) </w:t>
      </w:r>
      <w:r w:rsidR="005776EE">
        <w:rPr>
          <w:rFonts w:ascii="Calibri" w:hAnsi="Calibri" w:cs="Calibri"/>
          <w:lang w:val="pl-PL"/>
        </w:rPr>
        <w:br/>
      </w:r>
      <w:r w:rsidRPr="005776EE">
        <w:rPr>
          <w:rFonts w:ascii="Calibri" w:hAnsi="Calibri" w:cs="Calibri"/>
          <w:lang w:val="pl-PL"/>
        </w:rPr>
        <w:t>zawiera takie odniesienia.</w:t>
      </w:r>
    </w:p>
    <w:p w14:paraId="0B4D897B" w14:textId="45E8B686" w:rsidR="00F626D2" w:rsidRPr="005776EE" w:rsidRDefault="00F626D2" w:rsidP="00B845B0">
      <w:pPr>
        <w:pStyle w:val="NormalBody"/>
        <w:rPr>
          <w:rFonts w:ascii="Calibri" w:hAnsi="Calibri" w:cs="Calibri"/>
          <w:lang w:val="pl-PL"/>
        </w:rPr>
      </w:pPr>
      <w:r w:rsidRPr="005776EE">
        <w:rPr>
          <w:rFonts w:ascii="Calibri" w:hAnsi="Calibri" w:cs="Calibri"/>
          <w:lang w:val="pl-PL"/>
        </w:rPr>
        <w:t xml:space="preserve">Zaangażowanie w tym obszarze wzrosło jednak od połowy </w:t>
      </w:r>
      <w:r w:rsidR="006C3EB1" w:rsidRPr="005776EE">
        <w:rPr>
          <w:rFonts w:ascii="Calibri" w:hAnsi="Calibri" w:cs="Calibri"/>
          <w:lang w:val="pl-PL"/>
        </w:rPr>
        <w:t>pierwszej dekady XXI wieku</w:t>
      </w:r>
      <w:r w:rsidRPr="005776EE">
        <w:rPr>
          <w:rFonts w:ascii="Calibri" w:hAnsi="Calibri" w:cs="Calibri"/>
          <w:lang w:val="pl-PL"/>
        </w:rPr>
        <w:t xml:space="preserve">, a nowe porozumienia coraz częściej obejmują zagadnienia takie jak stres, zdrowie psychiczne </w:t>
      </w:r>
      <w:r w:rsidR="005776EE">
        <w:rPr>
          <w:rFonts w:ascii="Calibri" w:hAnsi="Calibri" w:cs="Calibri"/>
          <w:lang w:val="pl-PL"/>
        </w:rPr>
        <w:br/>
      </w:r>
      <w:r w:rsidRPr="005776EE">
        <w:rPr>
          <w:rFonts w:ascii="Calibri" w:hAnsi="Calibri" w:cs="Calibri"/>
          <w:lang w:val="pl-PL"/>
        </w:rPr>
        <w:t>i dobrostan, przemoc i molestowanie, równowaga między życiem zawodowym a prywatnym, cyfryzacja oraz telepraca. Zaangażowanie partnerów społecznych przyczynia się również do opracowywania sektorowych narzędzi doradczych oraz wpływa na dalszy rozwój polityk i regulacji.</w:t>
      </w:r>
    </w:p>
    <w:p w14:paraId="195A89DC" w14:textId="54CAE467" w:rsidR="00C16C32" w:rsidRPr="00514370" w:rsidRDefault="00C16C32" w:rsidP="00C16C32">
      <w:pPr>
        <w:pStyle w:val="NormalBody"/>
        <w:rPr>
          <w:rFonts w:ascii="Calibri" w:hAnsi="Calibri" w:cs="Calibri"/>
          <w:lang w:val="pl-PL"/>
        </w:rPr>
      </w:pPr>
      <w:r w:rsidRPr="005776EE">
        <w:rPr>
          <w:rFonts w:ascii="Calibri" w:hAnsi="Calibri" w:cs="Calibri"/>
          <w:b/>
          <w:bCs/>
          <w:lang w:val="pl-PL"/>
        </w:rPr>
        <w:t>Dobrowolne standardy, narzędzia doradcze oraz kampanie informacyjne</w:t>
      </w:r>
      <w:r w:rsidRPr="005776EE">
        <w:rPr>
          <w:rFonts w:ascii="Calibri" w:hAnsi="Calibri" w:cs="Calibri"/>
          <w:lang w:val="pl-PL"/>
        </w:rPr>
        <w:t xml:space="preserve"> pomagają przekładać ramy prewencyjne na konkretne, praktyczne działania. W różnych regionach inspektoraty pracy dostosowują tradycyjne modele kontroli, aby uwzględniać zagrożenia psychospołeczne — łącząc kontrolę zgodności </w:t>
      </w:r>
      <w:r w:rsidR="005776EE">
        <w:rPr>
          <w:rFonts w:ascii="Calibri" w:hAnsi="Calibri" w:cs="Calibri"/>
          <w:lang w:val="pl-PL"/>
        </w:rPr>
        <w:br/>
      </w:r>
      <w:r w:rsidRPr="005776EE">
        <w:rPr>
          <w:rFonts w:ascii="Calibri" w:hAnsi="Calibri" w:cs="Calibri"/>
          <w:lang w:val="pl-PL"/>
        </w:rPr>
        <w:t xml:space="preserve">z doradztwem prewencyjnym, opracowując wyspecjalizowane narzędzia oraz stosując podejścia oparte na analizie ryzyka </w:t>
      </w:r>
      <w:r w:rsidR="00514370">
        <w:rPr>
          <w:rFonts w:ascii="Calibri" w:hAnsi="Calibri" w:cs="Calibri"/>
          <w:lang w:val="pl-PL"/>
        </w:rPr>
        <w:br/>
      </w:r>
      <w:r w:rsidRPr="005776EE">
        <w:rPr>
          <w:rFonts w:ascii="Calibri" w:hAnsi="Calibri" w:cs="Calibri"/>
          <w:lang w:val="pl-PL"/>
        </w:rPr>
        <w:t>lub ukierunkowane na konkretne sektory.</w:t>
      </w:r>
    </w:p>
    <w:p w14:paraId="416785AD" w14:textId="77777777" w:rsidR="00C16C32" w:rsidRPr="005776EE" w:rsidRDefault="00C16C32" w:rsidP="00C16C32">
      <w:pPr>
        <w:pStyle w:val="NormalBody"/>
        <w:rPr>
          <w:rFonts w:ascii="Calibri" w:hAnsi="Calibri" w:cs="Calibri"/>
          <w:lang w:val="pl-PL"/>
        </w:rPr>
      </w:pPr>
      <w:r w:rsidRPr="005776EE">
        <w:rPr>
          <w:rFonts w:ascii="Calibri" w:hAnsi="Calibri" w:cs="Calibri"/>
          <w:lang w:val="pl-PL"/>
        </w:rPr>
        <w:t>Kampanie informacyjne stanowią również istotne narzędzie uzupełniające, wspierające zapobieganie zagrożeniom psychospołecznym poprzez zwiększanie świadomości oraz zachęcanie do działań prewencyjnych na poziomie miejsca pracy.</w:t>
      </w:r>
    </w:p>
    <w:p w14:paraId="16867593" w14:textId="53477DE8" w:rsidR="0032002B" w:rsidRPr="00C30872" w:rsidRDefault="00416DB3" w:rsidP="00883507">
      <w:pPr>
        <w:pStyle w:val="HeadingLevel3"/>
        <w:rPr>
          <w:rFonts w:ascii="Calibri" w:hAnsi="Calibri" w:cs="Calibri"/>
          <w:lang w:val="pl-PL"/>
        </w:rPr>
      </w:pPr>
      <w:r w:rsidRPr="00C30872">
        <w:rPr>
          <w:rFonts w:ascii="Calibri" w:hAnsi="Calibri" w:cs="Calibri"/>
          <w:lang w:val="pl-PL"/>
        </w:rPr>
        <w:t>Działania na poziomie miejsca pracy</w:t>
      </w:r>
    </w:p>
    <w:p w14:paraId="251C36E1" w14:textId="29A7C741" w:rsidR="00CD6C2F" w:rsidRPr="005776EE" w:rsidRDefault="00CD6C2F" w:rsidP="00CD6C2F">
      <w:pPr>
        <w:pStyle w:val="NormalBody"/>
        <w:rPr>
          <w:rFonts w:ascii="Calibri" w:hAnsi="Calibri" w:cs="Calibri"/>
          <w:lang w:val="pl-PL"/>
        </w:rPr>
      </w:pPr>
      <w:r w:rsidRPr="005776EE">
        <w:rPr>
          <w:rFonts w:ascii="Calibri" w:hAnsi="Calibri" w:cs="Calibri"/>
          <w:lang w:val="pl-PL"/>
        </w:rPr>
        <w:t xml:space="preserve">W raporcie wykorzystano </w:t>
      </w:r>
      <w:r w:rsidRPr="005776EE">
        <w:rPr>
          <w:rFonts w:ascii="Calibri" w:hAnsi="Calibri" w:cs="Calibri"/>
          <w:i/>
          <w:iCs/>
          <w:lang w:val="pl-PL"/>
        </w:rPr>
        <w:t xml:space="preserve">wytyczne MOP dotyczące systemów zarządzania bezpieczeństwem i higieną pracy (ILO-OSH 2001) </w:t>
      </w:r>
      <w:r w:rsidRPr="005776EE">
        <w:rPr>
          <w:rFonts w:ascii="Calibri" w:hAnsi="Calibri" w:cs="Calibri"/>
          <w:lang w:val="pl-PL"/>
        </w:rPr>
        <w:t xml:space="preserve">jako elastyczne ramy zarządzania ryzykiem psychospołecznym. </w:t>
      </w:r>
      <w:r w:rsidR="00514370">
        <w:rPr>
          <w:rFonts w:ascii="Calibri" w:hAnsi="Calibri" w:cs="Calibri"/>
          <w:lang w:val="pl-PL"/>
        </w:rPr>
        <w:br/>
      </w:r>
      <w:r w:rsidRPr="00514370">
        <w:rPr>
          <w:rFonts w:ascii="Calibri" w:hAnsi="Calibri" w:cs="Calibri"/>
          <w:lang w:val="pl-PL"/>
        </w:rPr>
        <w:t>Chociaż wytyczne te nie odnoszą się bezpośrednio do tego rodzaju zagrożeń, zapewniają ustrukturyzowane podejście — obejmujące politykę, organizację, planowanie i wdrażanie oraz ocenę — które gwarantuje, że p</w:t>
      </w:r>
      <w:r w:rsidRPr="005776EE">
        <w:rPr>
          <w:rFonts w:ascii="Calibri" w:hAnsi="Calibri" w:cs="Calibri"/>
          <w:lang w:val="pl-PL"/>
        </w:rPr>
        <w:t>sychospołeczne środowisko pracy jest traktowane jako integralny element skutecznego zarządzania bhp, a nie jako odrębny lub równoległy proces.</w:t>
      </w:r>
    </w:p>
    <w:p w14:paraId="467216A0" w14:textId="77777777" w:rsidR="00CD6C2F" w:rsidRPr="005776EE" w:rsidRDefault="00CD6C2F" w:rsidP="00CD6C2F">
      <w:pPr>
        <w:pStyle w:val="NormalBody"/>
        <w:rPr>
          <w:rFonts w:ascii="Calibri" w:hAnsi="Calibri" w:cs="Calibri"/>
          <w:lang w:val="pl-PL"/>
        </w:rPr>
      </w:pPr>
      <w:r w:rsidRPr="005776EE">
        <w:rPr>
          <w:rFonts w:ascii="Calibri" w:hAnsi="Calibri" w:cs="Calibri"/>
          <w:lang w:val="pl-PL"/>
        </w:rPr>
        <w:t>Polityka bhp określa zaangażowanie organizacji w ochronę bezpieczeństwa i zdrowia pracowników i powinna uwzględniać fakt, że ryzyko psychospołeczne wynika z projektowania pracy, organizacji pracy oraz szerszych procesów organizacyjnych, pozostając w powiązaniu z innymi obszarami funkcjonowania organizacji, takimi jak zarządzanie zasobami ludzkimi i zarządzanie efektywnością.</w:t>
      </w:r>
    </w:p>
    <w:p w14:paraId="21DADD81" w14:textId="7E07DEA6" w:rsidR="00CD6C2F" w:rsidRPr="00514370" w:rsidRDefault="00CD6C2F" w:rsidP="00CD6C2F">
      <w:pPr>
        <w:pStyle w:val="NormalBody"/>
        <w:rPr>
          <w:rFonts w:ascii="Calibri" w:hAnsi="Calibri" w:cs="Calibri"/>
          <w:lang w:val="pl-PL"/>
        </w:rPr>
      </w:pPr>
      <w:r w:rsidRPr="005776EE">
        <w:rPr>
          <w:rFonts w:ascii="Calibri" w:hAnsi="Calibri" w:cs="Calibri"/>
          <w:lang w:val="pl-PL"/>
        </w:rPr>
        <w:t xml:space="preserve">Skuteczna organizacja wymaga jasnego podziału odpowiedzialności, kompetentnego przywództwa, koordynacji między obszarami funkcjonalnymi oraz rzeczywistego udziału pracowników, </w:t>
      </w:r>
      <w:r w:rsidR="00514370">
        <w:rPr>
          <w:rFonts w:ascii="Calibri" w:hAnsi="Calibri" w:cs="Calibri"/>
          <w:lang w:val="pl-PL"/>
        </w:rPr>
        <w:br/>
      </w:r>
      <w:r w:rsidRPr="00514370">
        <w:rPr>
          <w:rFonts w:ascii="Calibri" w:hAnsi="Calibri" w:cs="Calibri"/>
          <w:lang w:val="pl-PL"/>
        </w:rPr>
        <w:t>tak</w:t>
      </w:r>
      <w:r w:rsidR="00514370">
        <w:rPr>
          <w:rFonts w:ascii="Calibri" w:hAnsi="Calibri" w:cs="Calibri"/>
          <w:lang w:val="pl-PL"/>
        </w:rPr>
        <w:t>,</w:t>
      </w:r>
      <w:r w:rsidRPr="00514370">
        <w:rPr>
          <w:rFonts w:ascii="Calibri" w:hAnsi="Calibri" w:cs="Calibri"/>
          <w:lang w:val="pl-PL"/>
        </w:rPr>
        <w:t xml:space="preserve"> aby zapewnić identyfikację, ocenę i kontrolę ryzyka na wszystkich poziomach. Planowanie i wdrażanie przekładają to zobowiązanie na konkretne działania poprzez określenie jasnych celów, przypisanie odpowiedzialności oraz alokację zasobów </w:t>
      </w:r>
      <w:r w:rsidR="00514370">
        <w:rPr>
          <w:rFonts w:ascii="Calibri" w:hAnsi="Calibri" w:cs="Calibri"/>
          <w:lang w:val="pl-PL"/>
        </w:rPr>
        <w:br/>
      </w:r>
      <w:r w:rsidRPr="00514370">
        <w:rPr>
          <w:rFonts w:ascii="Calibri" w:hAnsi="Calibri" w:cs="Calibri"/>
          <w:lang w:val="pl-PL"/>
        </w:rPr>
        <w:t>w oparciu o analizę istniejących warunków.</w:t>
      </w:r>
    </w:p>
    <w:p w14:paraId="6187FA43" w14:textId="77777777" w:rsidR="00CD6C2F" w:rsidRPr="005776EE" w:rsidRDefault="00CD6C2F" w:rsidP="00CD6C2F">
      <w:pPr>
        <w:pStyle w:val="NormalBody"/>
        <w:rPr>
          <w:rFonts w:ascii="Calibri" w:hAnsi="Calibri" w:cs="Calibri"/>
          <w:b/>
          <w:bCs/>
          <w:lang w:val="pl-PL"/>
        </w:rPr>
      </w:pPr>
      <w:r w:rsidRPr="005776EE">
        <w:rPr>
          <w:rFonts w:ascii="Calibri" w:hAnsi="Calibri" w:cs="Calibri"/>
          <w:lang w:val="pl-PL"/>
        </w:rPr>
        <w:t xml:space="preserve">Ocena ryzyka stanowi podstawowy element działań prewencyjnych w ramach systemu zarządzania bhp. Obejmuje </w:t>
      </w:r>
      <w:r w:rsidRPr="005776EE">
        <w:rPr>
          <w:rFonts w:ascii="Calibri" w:hAnsi="Calibri" w:cs="Calibri"/>
          <w:b/>
          <w:bCs/>
          <w:lang w:val="pl-PL"/>
        </w:rPr>
        <w:t>identyfikację zagrożeń, ocenę związanego z nimi ryzyka</w:t>
      </w:r>
      <w:r w:rsidRPr="005776EE">
        <w:rPr>
          <w:rFonts w:ascii="Calibri" w:hAnsi="Calibri" w:cs="Calibri"/>
          <w:lang w:val="pl-PL"/>
        </w:rPr>
        <w:t xml:space="preserve"> oraz </w:t>
      </w:r>
      <w:r w:rsidRPr="005776EE">
        <w:rPr>
          <w:rFonts w:ascii="Calibri" w:hAnsi="Calibri" w:cs="Calibri"/>
          <w:b/>
          <w:bCs/>
          <w:lang w:val="pl-PL"/>
        </w:rPr>
        <w:t>wdrażanie środków zapobiegawczych lub ochronnych w celu ich eliminacji lub ograniczenia.</w:t>
      </w:r>
    </w:p>
    <w:p w14:paraId="3898D127" w14:textId="77777777" w:rsidR="00CD6C2F" w:rsidRPr="005776EE" w:rsidRDefault="00CD6C2F" w:rsidP="00CD6C2F">
      <w:pPr>
        <w:pStyle w:val="NormalBody"/>
        <w:rPr>
          <w:rFonts w:ascii="Calibri" w:hAnsi="Calibri" w:cs="Calibri"/>
          <w:lang w:val="pl-PL"/>
        </w:rPr>
      </w:pPr>
      <w:r w:rsidRPr="005776EE">
        <w:rPr>
          <w:rFonts w:ascii="Calibri" w:hAnsi="Calibri" w:cs="Calibri"/>
          <w:lang w:val="pl-PL"/>
        </w:rPr>
        <w:t>Identyfikacja zagrożeń psychospołecznych wymaga analizy projektowania pracy, organizacji i zarządzania pracą, a także szerszych procesów organizacyjnych kształtujących codzienne funkcjonowanie pracy. Konieczne jest również uwzględnienie wzajemnych powiązań między tymi poziomami, a także relacji władzy i praktyk dyskryminacyjnych, które mogą prowadzić do powstawania lub nasilenia ryzyka psychospołecznego.</w:t>
      </w:r>
    </w:p>
    <w:p w14:paraId="599CA5D3" w14:textId="77777777" w:rsidR="00CD6C2F" w:rsidRPr="005776EE" w:rsidRDefault="00CD6C2F" w:rsidP="00CD6C2F">
      <w:pPr>
        <w:pStyle w:val="NormalBody"/>
        <w:rPr>
          <w:rFonts w:ascii="Calibri" w:hAnsi="Calibri" w:cs="Calibri"/>
          <w:lang w:val="pl-PL"/>
        </w:rPr>
      </w:pPr>
      <w:r w:rsidRPr="005776EE">
        <w:rPr>
          <w:rFonts w:ascii="Calibri" w:hAnsi="Calibri" w:cs="Calibri"/>
          <w:lang w:val="pl-PL"/>
        </w:rPr>
        <w:t>Ponieważ zagrożenia psychospołeczne nie zawsze są bezpośrednio obserwowalne, ocena powinna opierać się na wielu źródłach informacji, takich jak dane organizacyjne, dokumentacja kadrowa oraz badania ankietowe pracowników.</w:t>
      </w:r>
    </w:p>
    <w:p w14:paraId="1F79EA43" w14:textId="6A999011" w:rsidR="00CD6C2F" w:rsidRPr="00C30872" w:rsidRDefault="00CD6C2F" w:rsidP="00CD6C2F">
      <w:pPr>
        <w:pStyle w:val="NormalBody"/>
        <w:rPr>
          <w:rFonts w:ascii="Calibri" w:hAnsi="Calibri" w:cs="Calibri"/>
          <w:lang w:val="pl-PL"/>
        </w:rPr>
      </w:pPr>
      <w:r w:rsidRPr="005776EE">
        <w:rPr>
          <w:rFonts w:ascii="Calibri" w:hAnsi="Calibri" w:cs="Calibri"/>
          <w:lang w:val="pl-PL"/>
        </w:rPr>
        <w:t xml:space="preserve">Choć badania ankietowe mogą zawierać elementy subiektywne, zastosowanie zweryfikowanych narzędzi oraz zapewnienie anonimowości zwiększa wiarygodność uzyskanych wyników. </w:t>
      </w:r>
      <w:r w:rsidR="00514370">
        <w:rPr>
          <w:rFonts w:ascii="Calibri" w:hAnsi="Calibri" w:cs="Calibri"/>
          <w:lang w:val="pl-PL"/>
        </w:rPr>
        <w:br/>
      </w:r>
      <w:r w:rsidRPr="00514370">
        <w:rPr>
          <w:rFonts w:ascii="Calibri" w:hAnsi="Calibri" w:cs="Calibri"/>
          <w:lang w:val="pl-PL"/>
        </w:rPr>
        <w:t xml:space="preserve">Ocena ryzyka powinna uwzględniać czas trwania, częstotliwość </w:t>
      </w:r>
      <w:r w:rsidR="00514370">
        <w:rPr>
          <w:rFonts w:ascii="Calibri" w:hAnsi="Calibri" w:cs="Calibri"/>
          <w:lang w:val="pl-PL"/>
        </w:rPr>
        <w:br/>
      </w:r>
      <w:r w:rsidRPr="00514370">
        <w:rPr>
          <w:rFonts w:ascii="Calibri" w:hAnsi="Calibri" w:cs="Calibri"/>
          <w:lang w:val="pl-PL"/>
        </w:rPr>
        <w:t>oraz kumulacyjny charakter narażenia, ponieważ wiele zagrożeń psychospołecznych rozwija się stopniowo.</w:t>
      </w:r>
    </w:p>
    <w:p w14:paraId="29D66A58" w14:textId="347502AE" w:rsidR="00CD6C2F" w:rsidRPr="005776EE" w:rsidRDefault="00CD6C2F" w:rsidP="00CD6C2F">
      <w:pPr>
        <w:pStyle w:val="NormalBody"/>
        <w:rPr>
          <w:rFonts w:ascii="Calibri" w:hAnsi="Calibri" w:cs="Calibri"/>
          <w:lang w:val="pl-PL"/>
        </w:rPr>
      </w:pPr>
      <w:r w:rsidRPr="005776EE">
        <w:rPr>
          <w:rFonts w:ascii="Calibri" w:hAnsi="Calibri" w:cs="Calibri"/>
          <w:lang w:val="pl-PL"/>
        </w:rPr>
        <w:t xml:space="preserve">Zapobieganie stanowi nadrzędny cel działań. Zgodnie z hierarchią środków kontroli priorytet powinny mieć działania organizacyjne </w:t>
      </w:r>
      <w:r w:rsidR="005776EE">
        <w:rPr>
          <w:rFonts w:ascii="Calibri" w:hAnsi="Calibri" w:cs="Calibri"/>
          <w:lang w:val="pl-PL"/>
        </w:rPr>
        <w:br/>
      </w:r>
      <w:r w:rsidRPr="005776EE">
        <w:rPr>
          <w:rFonts w:ascii="Calibri" w:hAnsi="Calibri" w:cs="Calibri"/>
          <w:lang w:val="pl-PL"/>
        </w:rPr>
        <w:t>i zbiorowe, ukierunkowane na eliminowanie przyczyn źródłowych, w tym zarządzanie obciążeniem pracą, jasność ról, komunikację, partycypację oraz praktyki przywódcze.</w:t>
      </w:r>
    </w:p>
    <w:p w14:paraId="21BA7D80" w14:textId="139D38B7" w:rsidR="00CD6C2F" w:rsidRPr="005776EE" w:rsidRDefault="00CD6C2F" w:rsidP="00CD6C2F">
      <w:pPr>
        <w:pStyle w:val="NormalBody"/>
        <w:rPr>
          <w:rFonts w:ascii="Calibri" w:hAnsi="Calibri" w:cs="Calibri"/>
          <w:lang w:val="pl-PL"/>
        </w:rPr>
      </w:pPr>
      <w:r w:rsidRPr="005776EE">
        <w:rPr>
          <w:rFonts w:ascii="Calibri" w:hAnsi="Calibri" w:cs="Calibri"/>
          <w:lang w:val="pl-PL"/>
        </w:rPr>
        <w:t xml:space="preserve">W przypadku poważnych zagrożeń, takich jak przemoc </w:t>
      </w:r>
      <w:r w:rsidR="005776EE">
        <w:rPr>
          <w:rFonts w:ascii="Calibri" w:hAnsi="Calibri" w:cs="Calibri"/>
          <w:lang w:val="pl-PL"/>
        </w:rPr>
        <w:br/>
      </w:r>
      <w:r w:rsidRPr="005776EE">
        <w:rPr>
          <w:rFonts w:ascii="Calibri" w:hAnsi="Calibri" w:cs="Calibri"/>
          <w:lang w:val="pl-PL"/>
        </w:rPr>
        <w:t xml:space="preserve">i molestowanie, konieczna może być natychmiastowa interwencja, natomiast działania długoterminowe mogą obejmować przeprojektowanie ról lub modyfikację systemów organizacyjnych. Środki indywidualne, służące ochronie i promowaniu zdrowia, mogą wspierać pracowników w radzeniu sobie z wymaganiami </w:t>
      </w:r>
      <w:r w:rsidR="005776EE">
        <w:rPr>
          <w:rFonts w:ascii="Calibri" w:hAnsi="Calibri" w:cs="Calibri"/>
          <w:lang w:val="pl-PL"/>
        </w:rPr>
        <w:br/>
      </w:r>
      <w:r w:rsidRPr="005776EE">
        <w:rPr>
          <w:rFonts w:ascii="Calibri" w:hAnsi="Calibri" w:cs="Calibri"/>
          <w:lang w:val="pl-PL"/>
        </w:rPr>
        <w:t>i w uzyskiwaniu pomocy, jednak powinny one uzupełniać działania dotyczące warunków organizacyjnych, a nie je zastępować.</w:t>
      </w:r>
    </w:p>
    <w:p w14:paraId="27217C83" w14:textId="1CE95D8C" w:rsidR="00CD6C2F" w:rsidRPr="005776EE" w:rsidRDefault="00CD6C2F" w:rsidP="00CD6C2F">
      <w:pPr>
        <w:pStyle w:val="NormalBody"/>
        <w:rPr>
          <w:rFonts w:ascii="Calibri" w:hAnsi="Calibri" w:cs="Calibri"/>
          <w:lang w:val="pl-PL"/>
        </w:rPr>
      </w:pPr>
      <w:r w:rsidRPr="005776EE">
        <w:rPr>
          <w:rFonts w:ascii="Calibri" w:hAnsi="Calibri" w:cs="Calibri"/>
          <w:lang w:val="pl-PL"/>
        </w:rPr>
        <w:t xml:space="preserve">W raporcie przedstawiono </w:t>
      </w:r>
      <w:r w:rsidRPr="005776EE">
        <w:rPr>
          <w:rFonts w:ascii="Calibri" w:hAnsi="Calibri" w:cs="Calibri"/>
          <w:b/>
          <w:bCs/>
          <w:lang w:val="pl-PL"/>
        </w:rPr>
        <w:t>przykłady środków zapobiegawczych</w:t>
      </w:r>
      <w:r w:rsidRPr="005776EE">
        <w:rPr>
          <w:rFonts w:ascii="Calibri" w:hAnsi="Calibri" w:cs="Calibri"/>
          <w:lang w:val="pl-PL"/>
        </w:rPr>
        <w:t xml:space="preserve"> </w:t>
      </w:r>
      <w:r w:rsidR="00514370">
        <w:rPr>
          <w:rFonts w:ascii="Calibri" w:hAnsi="Calibri" w:cs="Calibri"/>
          <w:lang w:val="pl-PL"/>
        </w:rPr>
        <w:br/>
      </w:r>
      <w:r w:rsidRPr="00514370">
        <w:rPr>
          <w:rFonts w:ascii="Calibri" w:hAnsi="Calibri" w:cs="Calibri"/>
          <w:lang w:val="pl-PL"/>
        </w:rPr>
        <w:t>na trzech powiązanych poziomach psychospołecznego środowiska pracy, co pomaga interesariuszom identyfikować priorytetowe obszary działań oraz eliminować zagrożenia u źródła. W praktyce środki te powinny być rozpatrywane łącznie, ponieważ często odnoszą si</w:t>
      </w:r>
      <w:r w:rsidRPr="005776EE">
        <w:rPr>
          <w:rFonts w:ascii="Calibri" w:hAnsi="Calibri" w:cs="Calibri"/>
          <w:lang w:val="pl-PL"/>
        </w:rPr>
        <w:t xml:space="preserve">ę jednocześnie do wielu wzajemnie powiązanych </w:t>
      </w:r>
      <w:r w:rsidRPr="005776EE">
        <w:rPr>
          <w:rFonts w:ascii="Calibri" w:hAnsi="Calibri" w:cs="Calibri"/>
          <w:lang w:val="pl-PL"/>
        </w:rPr>
        <w:lastRenderedPageBreak/>
        <w:t>zagrożeń psychospołecznych, co podkreśla znaczenie podejścia kompleksowego.</w:t>
      </w:r>
    </w:p>
    <w:p w14:paraId="35B8D7EA" w14:textId="35092384" w:rsidR="00CD6C2F" w:rsidRPr="005776EE" w:rsidRDefault="00CD6C2F" w:rsidP="00B845B0">
      <w:pPr>
        <w:pStyle w:val="NormalBody"/>
        <w:rPr>
          <w:rFonts w:ascii="Calibri" w:hAnsi="Calibri" w:cs="Calibri"/>
          <w:lang w:val="pl-PL"/>
        </w:rPr>
      </w:pPr>
      <w:r w:rsidRPr="005776EE">
        <w:rPr>
          <w:rFonts w:ascii="Calibri" w:hAnsi="Calibri" w:cs="Calibri"/>
          <w:lang w:val="pl-PL"/>
        </w:rPr>
        <w:t xml:space="preserve">Organizacje powinny regularnie oceniać wdrażanie oraz skuteczność zarządzania ryzykiem psychospołecznym, wykorzystując wskaźniki oraz informacje zwrotne od pracowników. Pozwala to identyfikować niezamierzone konsekwencje, nowe lub utrzymujące się problemy oraz zapewnia aktualność działań </w:t>
      </w:r>
      <w:r w:rsidR="005776EE">
        <w:rPr>
          <w:rFonts w:ascii="Calibri" w:hAnsi="Calibri" w:cs="Calibri"/>
          <w:lang w:val="pl-PL"/>
        </w:rPr>
        <w:br/>
      </w:r>
      <w:r w:rsidRPr="005776EE">
        <w:rPr>
          <w:rFonts w:ascii="Calibri" w:hAnsi="Calibri" w:cs="Calibri"/>
          <w:lang w:val="pl-PL"/>
        </w:rPr>
        <w:t>w warunkach zmieniającego się środowiska pracy.</w:t>
      </w:r>
    </w:p>
    <w:p w14:paraId="19BB8D5A" w14:textId="4E52D936" w:rsidR="0032002B" w:rsidRPr="00C30872" w:rsidRDefault="00416DB3" w:rsidP="00883507">
      <w:pPr>
        <w:pStyle w:val="HeadingLevel3"/>
        <w:rPr>
          <w:rFonts w:ascii="Calibri" w:hAnsi="Calibri" w:cs="Calibri"/>
          <w:lang w:val="pl-PL"/>
        </w:rPr>
      </w:pPr>
      <w:r w:rsidRPr="00C30872">
        <w:rPr>
          <w:rFonts w:ascii="Calibri" w:hAnsi="Calibri" w:cs="Calibri"/>
          <w:lang w:val="pl-PL"/>
        </w:rPr>
        <w:t>Kierunki dalszych działań</w:t>
      </w:r>
      <w:r w:rsidR="0032002B" w:rsidRPr="00C30872">
        <w:rPr>
          <w:rFonts w:ascii="Calibri" w:hAnsi="Calibri" w:cs="Calibri"/>
          <w:lang w:val="pl-PL"/>
        </w:rPr>
        <w:t xml:space="preserve"> </w:t>
      </w:r>
    </w:p>
    <w:p w14:paraId="7086D6B6" w14:textId="0111E587" w:rsidR="00CD6C2F" w:rsidRPr="00C30872" w:rsidRDefault="00CD6C2F" w:rsidP="00B845B0">
      <w:pPr>
        <w:pStyle w:val="NormalBody"/>
        <w:rPr>
          <w:rFonts w:ascii="Calibri" w:hAnsi="Calibri" w:cs="Calibri"/>
          <w:lang w:val="pl-PL"/>
        </w:rPr>
      </w:pPr>
      <w:r w:rsidRPr="005776EE">
        <w:rPr>
          <w:rFonts w:ascii="Calibri" w:hAnsi="Calibri" w:cs="Calibri"/>
          <w:lang w:val="pl-PL"/>
        </w:rPr>
        <w:t>Aby utrzymać postępy w zakresie zapobiegania ryzyku psychospołecznemu oraz wspierać tworzenie środowisk pracy sprzyjających bezpieczeństwu i zdrowiu pracowników, a także efektywności organizacji, w raporcie wskazano trzy powiązane obszary wymagające dalszych działań.</w:t>
      </w:r>
    </w:p>
    <w:p w14:paraId="7611826C" w14:textId="77777777" w:rsidR="00CD6C2F" w:rsidRPr="005776EE" w:rsidRDefault="00CD6C2F" w:rsidP="00CD6C2F">
      <w:pPr>
        <w:pStyle w:val="NormalBody"/>
        <w:numPr>
          <w:ilvl w:val="0"/>
          <w:numId w:val="25"/>
        </w:numPr>
        <w:rPr>
          <w:rFonts w:ascii="Calibri" w:hAnsi="Calibri" w:cs="Calibri"/>
          <w:lang w:val="pl-PL"/>
        </w:rPr>
      </w:pPr>
      <w:r w:rsidRPr="005776EE">
        <w:rPr>
          <w:rFonts w:ascii="Calibri" w:hAnsi="Calibri" w:cs="Calibri"/>
          <w:b/>
          <w:bCs/>
          <w:lang w:val="pl-PL"/>
        </w:rPr>
        <w:t>Badania</w:t>
      </w:r>
      <w:r w:rsidRPr="005776EE">
        <w:rPr>
          <w:rFonts w:ascii="Calibri" w:hAnsi="Calibri" w:cs="Calibri"/>
          <w:lang w:val="pl-PL"/>
        </w:rPr>
        <w:t xml:space="preserve"> – Niezbędne są bardziej spójne dane, oparte na zharmonizowanych narzędziach pomiarowych oraz obejmujące szerszy zasięg geograficzny, aby wypełnić luki informacyjne i lepiej rozumieć skalę oraz trendy zjawiska. Włączenie wskaźników psychospołecznych do systemów monitorowania bhp oraz statystyk krajowych pozwoliłoby lepiej śledzić poziom narażenia i jego skutki.</w:t>
      </w:r>
    </w:p>
    <w:p w14:paraId="18C55057" w14:textId="77777777" w:rsidR="00CD6C2F" w:rsidRPr="005776EE" w:rsidRDefault="00CD6C2F" w:rsidP="00CD6C2F">
      <w:pPr>
        <w:pStyle w:val="NormalBody"/>
        <w:ind w:left="360"/>
        <w:rPr>
          <w:rFonts w:ascii="Calibri" w:hAnsi="Calibri" w:cs="Calibri"/>
          <w:lang w:val="pl-PL"/>
        </w:rPr>
      </w:pPr>
      <w:r w:rsidRPr="005776EE">
        <w:rPr>
          <w:rFonts w:ascii="Calibri" w:hAnsi="Calibri" w:cs="Calibri"/>
          <w:lang w:val="pl-PL"/>
        </w:rPr>
        <w:t>Choć część krajów deklaruje wzmocnienie statystyk w obszarze ryzyka psychospołecznego i zdrowia psychicznego związanego z pracą, konieczne są dalsze działania na rzecz zapewnienia regularnych, ujednoliconych i porównywalnych międzynarodowo danych. Dane z podziałem na cechy pracowników oraz formy zatrudnienia, a także lepsza ewaluacja polityk i działań na poziomie miejsca pracy, wspierałyby identyfikację i upowszechnianie skutecznych rozwiązań.</w:t>
      </w:r>
    </w:p>
    <w:p w14:paraId="21DB4409" w14:textId="19107966" w:rsidR="00CD6C2F" w:rsidRPr="005776EE" w:rsidRDefault="00CD6C2F" w:rsidP="00CD6C2F">
      <w:pPr>
        <w:pStyle w:val="NormalBody"/>
        <w:numPr>
          <w:ilvl w:val="0"/>
          <w:numId w:val="25"/>
        </w:numPr>
        <w:rPr>
          <w:rFonts w:ascii="Calibri" w:hAnsi="Calibri" w:cs="Calibri"/>
          <w:lang w:val="pl-PL"/>
        </w:rPr>
      </w:pPr>
      <w:r w:rsidRPr="005776EE">
        <w:rPr>
          <w:rFonts w:ascii="Calibri" w:hAnsi="Calibri" w:cs="Calibri"/>
          <w:b/>
          <w:bCs/>
          <w:lang w:val="pl-PL"/>
        </w:rPr>
        <w:t>Ramy polityczne i regulacyjne</w:t>
      </w:r>
      <w:r w:rsidRPr="005776EE">
        <w:rPr>
          <w:rFonts w:ascii="Calibri" w:hAnsi="Calibri" w:cs="Calibri"/>
          <w:lang w:val="pl-PL"/>
        </w:rPr>
        <w:t xml:space="preserve"> – Konieczna jest większa spójność, przejrzystość i jednolitość podejść politycznych </w:t>
      </w:r>
      <w:r w:rsidR="005776EE">
        <w:rPr>
          <w:rFonts w:ascii="Calibri" w:hAnsi="Calibri" w:cs="Calibri"/>
          <w:lang w:val="pl-PL"/>
        </w:rPr>
        <w:br/>
      </w:r>
      <w:r w:rsidRPr="005776EE">
        <w:rPr>
          <w:rFonts w:ascii="Calibri" w:hAnsi="Calibri" w:cs="Calibri"/>
          <w:lang w:val="pl-PL"/>
        </w:rPr>
        <w:t>i regulacyjnych, ponieważ praktyki różnią się pod względem zakresu, terminologii i poziomu ochrony. W celu wzmocnienia prewencji polityki i przepisy bhp powinny wprost uwzględniać ryzyko psychospołeczne, unikając koncentracji wyłącznie na jego skutkach, takich jak zdrowie psychiczne w pracy.</w:t>
      </w:r>
    </w:p>
    <w:p w14:paraId="3AE19E94" w14:textId="77777777" w:rsidR="00514370" w:rsidRDefault="00CD6C2F" w:rsidP="00CD6C2F">
      <w:pPr>
        <w:pStyle w:val="NormalBody"/>
        <w:ind w:left="360"/>
        <w:rPr>
          <w:rFonts w:ascii="Calibri" w:hAnsi="Calibri" w:cs="Calibri"/>
          <w:lang w:val="pl-PL"/>
        </w:rPr>
      </w:pPr>
      <w:r w:rsidRPr="005776EE">
        <w:rPr>
          <w:rFonts w:ascii="Calibri" w:hAnsi="Calibri" w:cs="Calibri"/>
          <w:lang w:val="pl-PL"/>
        </w:rPr>
        <w:t xml:space="preserve">Oprócz stałego uwzględniania pilnych i widocznych problemów, takich jak przemoc i molestowanie, większy nacisk powinien zostać położony na strukturalne i organizacyjne aspekty pracy. Skuteczne wdrażanie wymaga połączenia </w:t>
      </w:r>
    </w:p>
    <w:p w14:paraId="73CDE070" w14:textId="5877F9D8" w:rsidR="00CD6C2F" w:rsidRPr="00514370" w:rsidRDefault="00CD6C2F" w:rsidP="00CD6C2F">
      <w:pPr>
        <w:pStyle w:val="NormalBody"/>
        <w:ind w:left="360"/>
        <w:rPr>
          <w:rFonts w:ascii="Calibri" w:hAnsi="Calibri" w:cs="Calibri"/>
          <w:lang w:val="pl-PL"/>
        </w:rPr>
      </w:pPr>
      <w:r w:rsidRPr="00514370">
        <w:rPr>
          <w:rFonts w:ascii="Calibri" w:hAnsi="Calibri" w:cs="Calibri"/>
          <w:lang w:val="pl-PL"/>
        </w:rPr>
        <w:t xml:space="preserve">egzekwowania przepisów, praktycznych wytycznych, narzędzi oraz budowania kompetencji — szczególnie w sektorze małych i średnich przedsiębiorstw — a także lepszej komunikacji </w:t>
      </w:r>
      <w:r w:rsidR="00514370">
        <w:rPr>
          <w:rFonts w:ascii="Calibri" w:hAnsi="Calibri" w:cs="Calibri"/>
          <w:lang w:val="pl-PL"/>
        </w:rPr>
        <w:br/>
      </w:r>
      <w:r w:rsidRPr="00514370">
        <w:rPr>
          <w:rFonts w:ascii="Calibri" w:hAnsi="Calibri" w:cs="Calibri"/>
          <w:lang w:val="pl-PL"/>
        </w:rPr>
        <w:t>i silniejszej koordynacji instytucjonalnej.</w:t>
      </w:r>
    </w:p>
    <w:p w14:paraId="3C2825DB" w14:textId="77777777" w:rsidR="00CD6C2F" w:rsidRPr="005776EE" w:rsidRDefault="00CD6C2F" w:rsidP="00CD6C2F">
      <w:pPr>
        <w:pStyle w:val="NormalBody"/>
        <w:ind w:left="360"/>
        <w:rPr>
          <w:rFonts w:ascii="Calibri" w:hAnsi="Calibri" w:cs="Calibri"/>
          <w:lang w:val="pl-PL"/>
        </w:rPr>
      </w:pPr>
      <w:r w:rsidRPr="005776EE">
        <w:rPr>
          <w:rFonts w:ascii="Calibri" w:hAnsi="Calibri" w:cs="Calibri"/>
          <w:lang w:val="pl-PL"/>
        </w:rPr>
        <w:t>Wzmocniona współpraca między instytucjami bhp, instytucjami zdrowia publicznego oraz partnerami społecznymi może dodatkowo wspierać działania prewencyjne i wymianę wiedzy.</w:t>
      </w:r>
    </w:p>
    <w:p w14:paraId="202E507D" w14:textId="77777777" w:rsidR="00A6193E" w:rsidRPr="005776EE" w:rsidRDefault="00A6193E" w:rsidP="00A6193E">
      <w:pPr>
        <w:pStyle w:val="NormalBody"/>
        <w:numPr>
          <w:ilvl w:val="0"/>
          <w:numId w:val="25"/>
        </w:numPr>
        <w:rPr>
          <w:rFonts w:ascii="Calibri" w:hAnsi="Calibri" w:cs="Calibri"/>
          <w:lang w:val="pl-PL"/>
        </w:rPr>
      </w:pPr>
      <w:r w:rsidRPr="005776EE">
        <w:rPr>
          <w:rFonts w:ascii="Calibri" w:hAnsi="Calibri" w:cs="Calibri"/>
          <w:b/>
          <w:bCs/>
          <w:lang w:val="pl-PL"/>
        </w:rPr>
        <w:t>Poziom miejsca pracy</w:t>
      </w:r>
      <w:r w:rsidRPr="005776EE">
        <w:rPr>
          <w:rFonts w:ascii="Calibri" w:hAnsi="Calibri" w:cs="Calibri"/>
          <w:lang w:val="pl-PL"/>
        </w:rPr>
        <w:t xml:space="preserve"> – Chociaż nie wszystkie zagrożenia psychospołeczne mogą zostać całkowicie wyeliminowane, związane z nimi ryzyko często można ograniczyć poprzez poprawę projektowania pracy, jej organizacji i zarządzania. Obejmuje to analizę obciążenia pracą, podziału zadań, nadzoru oraz innych elementów środowiska pracy, przy jednoczesnym wzmacnianiu zdolności pracowników do rozpoznawania zagrożeń i reagowania na nie.</w:t>
      </w:r>
    </w:p>
    <w:p w14:paraId="2BD289D4" w14:textId="77777777" w:rsidR="00A6193E" w:rsidRPr="005776EE" w:rsidRDefault="00A6193E" w:rsidP="00A6193E">
      <w:pPr>
        <w:pStyle w:val="NormalBody"/>
        <w:ind w:left="360"/>
        <w:rPr>
          <w:rFonts w:ascii="Calibri" w:hAnsi="Calibri" w:cs="Calibri"/>
          <w:lang w:val="pl-PL"/>
        </w:rPr>
      </w:pPr>
      <w:r w:rsidRPr="005776EE">
        <w:rPr>
          <w:rFonts w:ascii="Calibri" w:hAnsi="Calibri" w:cs="Calibri"/>
          <w:lang w:val="pl-PL"/>
        </w:rPr>
        <w:t>Kluczowe znaczenie ma odpowiedzialność kierownictwa za włączanie działań prewencyjnych do codziennych decyzji zarządczych oraz do wszystkich obszarów funkcjonowania organizacji. Podejścia partycypacyjne, angażujące pracowników i ich przedstawicieli, w połączeniu ze współpracą między specjalistami ds. bhp, działem kadr i kadrą zarządzającą, sprzyjają wdrażaniu rozwiązań praktycznych, dostosowanych do kontekstu i trwałych.</w:t>
      </w:r>
    </w:p>
    <w:p w14:paraId="64A7CAAE" w14:textId="77777777" w:rsidR="00CD6C2F" w:rsidRPr="00C30872" w:rsidRDefault="00CD6C2F" w:rsidP="00AF2B51">
      <w:pPr>
        <w:pStyle w:val="NormalBody"/>
        <w:ind w:left="360"/>
        <w:rPr>
          <w:rFonts w:ascii="Calibri" w:hAnsi="Calibri" w:cs="Calibri"/>
          <w:lang w:val="pl-PL"/>
        </w:rPr>
      </w:pPr>
    </w:p>
    <w:p w14:paraId="1873DDE9" w14:textId="77777777" w:rsidR="005F7F4A" w:rsidRPr="00C30872" w:rsidRDefault="005F7F4A" w:rsidP="00B845B0">
      <w:pPr>
        <w:pStyle w:val="NormalBody"/>
        <w:rPr>
          <w:rFonts w:ascii="Calibri" w:hAnsi="Calibri" w:cs="Calibri"/>
          <w:lang w:val="pl-PL"/>
        </w:rPr>
      </w:pPr>
    </w:p>
    <w:p w14:paraId="59686B52" w14:textId="77777777" w:rsidR="00D74792" w:rsidRPr="00C30872" w:rsidRDefault="00D74792" w:rsidP="00B845B0">
      <w:pPr>
        <w:pStyle w:val="NormalBody"/>
        <w:rPr>
          <w:rFonts w:ascii="Calibri" w:hAnsi="Calibri" w:cs="Calibri"/>
          <w:lang w:val="pl-PL"/>
        </w:rPr>
      </w:pPr>
    </w:p>
    <w:p w14:paraId="4E3CE31B" w14:textId="77777777" w:rsidR="00D74792" w:rsidRPr="00C30872" w:rsidRDefault="00D74792" w:rsidP="00B845B0">
      <w:pPr>
        <w:pStyle w:val="NormalBody"/>
        <w:rPr>
          <w:rFonts w:ascii="Calibri" w:hAnsi="Calibri" w:cs="Calibri"/>
          <w:lang w:val="pl-PL"/>
        </w:rPr>
      </w:pPr>
    </w:p>
    <w:p w14:paraId="2D9CFA4E" w14:textId="77777777" w:rsidR="005F7F4A" w:rsidRPr="00C30872" w:rsidRDefault="005F7F4A" w:rsidP="00B845B0">
      <w:pPr>
        <w:pStyle w:val="NormalBody"/>
        <w:rPr>
          <w:rFonts w:ascii="Calibri" w:hAnsi="Calibri" w:cs="Calibri"/>
          <w:lang w:val="pl-PL"/>
        </w:rPr>
      </w:pPr>
    </w:p>
    <w:p w14:paraId="3F59E379" w14:textId="77777777" w:rsidR="006C1BA5" w:rsidRPr="00C30872" w:rsidRDefault="006C1BA5" w:rsidP="00B845B0">
      <w:pPr>
        <w:pStyle w:val="NormalBody"/>
        <w:rPr>
          <w:rFonts w:ascii="Calibri" w:hAnsi="Calibri" w:cs="Calibri"/>
          <w:lang w:val="pl-PL"/>
        </w:rPr>
      </w:pPr>
    </w:p>
    <w:p w14:paraId="2270F2BC" w14:textId="77777777" w:rsidR="00EE5E6B" w:rsidRPr="00C30872" w:rsidRDefault="00EE5E6B" w:rsidP="00B845B0">
      <w:pPr>
        <w:pStyle w:val="NormalBody"/>
        <w:rPr>
          <w:rFonts w:ascii="Calibri" w:hAnsi="Calibri" w:cs="Calibri"/>
          <w:lang w:val="pl-PL"/>
        </w:rPr>
      </w:pPr>
    </w:p>
    <w:p w14:paraId="621CCF3E" w14:textId="77777777" w:rsidR="00EE5E6B" w:rsidRPr="00C30872" w:rsidRDefault="00EE5E6B" w:rsidP="00B845B0">
      <w:pPr>
        <w:pStyle w:val="NormalBody"/>
        <w:rPr>
          <w:rFonts w:ascii="Calibri" w:hAnsi="Calibri" w:cs="Calibri"/>
          <w:lang w:val="pl-PL"/>
        </w:rPr>
      </w:pPr>
    </w:p>
    <w:p w14:paraId="0647592A" w14:textId="77777777" w:rsidR="00EE5E6B" w:rsidRPr="00C30872" w:rsidRDefault="00EE5E6B" w:rsidP="00B845B0">
      <w:pPr>
        <w:pStyle w:val="NormalBody"/>
        <w:rPr>
          <w:rFonts w:ascii="Calibri" w:hAnsi="Calibri" w:cs="Calibri"/>
          <w:lang w:val="pl-PL"/>
        </w:rPr>
      </w:pPr>
    </w:p>
    <w:p w14:paraId="01878FA6" w14:textId="77777777" w:rsidR="00F64772" w:rsidRPr="00C30872" w:rsidRDefault="00F64772" w:rsidP="00B845B0">
      <w:pPr>
        <w:pStyle w:val="NormalBody"/>
        <w:rPr>
          <w:rFonts w:ascii="Calibri" w:hAnsi="Calibri" w:cs="Calibri"/>
          <w:lang w:val="pl-PL"/>
        </w:rPr>
      </w:pPr>
    </w:p>
    <w:p w14:paraId="07CCF748" w14:textId="77777777" w:rsidR="006C1BA5" w:rsidRPr="00C30872" w:rsidRDefault="006C1BA5" w:rsidP="00B845B0">
      <w:pPr>
        <w:pStyle w:val="NormalBody"/>
        <w:rPr>
          <w:rFonts w:ascii="Calibri" w:hAnsi="Calibri" w:cs="Calibri"/>
          <w:lang w:val="pl-PL"/>
        </w:rPr>
      </w:pPr>
    </w:p>
    <w:p w14:paraId="15A0E8E9" w14:textId="77777777" w:rsidR="006C1BA5" w:rsidRPr="00C30872" w:rsidRDefault="006C1BA5" w:rsidP="00B845B0">
      <w:pPr>
        <w:pStyle w:val="NormalBody"/>
        <w:rPr>
          <w:rFonts w:ascii="Calibri" w:hAnsi="Calibri" w:cs="Calibri"/>
          <w:lang w:val="pl-PL"/>
        </w:rPr>
      </w:pPr>
    </w:p>
    <w:p w14:paraId="489E8282" w14:textId="77777777" w:rsidR="00F64772" w:rsidRPr="00C30872" w:rsidRDefault="00F64772" w:rsidP="00B845B0">
      <w:pPr>
        <w:pStyle w:val="NormalBody"/>
        <w:rPr>
          <w:rFonts w:ascii="Calibri" w:hAnsi="Calibri" w:cs="Calibri"/>
          <w:lang w:val="pl-PL"/>
        </w:rPr>
      </w:pPr>
    </w:p>
    <w:p w14:paraId="4D587F9A" w14:textId="77777777" w:rsidR="00F64772" w:rsidRPr="00C30872" w:rsidRDefault="00F64772" w:rsidP="00B845B0">
      <w:pPr>
        <w:pStyle w:val="NormalBody"/>
        <w:rPr>
          <w:rFonts w:ascii="Calibri" w:hAnsi="Calibri" w:cs="Calibri"/>
          <w:lang w:val="pl-PL"/>
        </w:rPr>
        <w:sectPr w:rsidR="00F64772" w:rsidRPr="00C30872" w:rsidSect="00A67664">
          <w:type w:val="continuous"/>
          <w:pgSz w:w="11906" w:h="16838"/>
          <w:pgMar w:top="2552" w:right="851" w:bottom="851" w:left="851" w:header="794" w:footer="567" w:gutter="0"/>
          <w:cols w:num="2" w:space="284"/>
          <w:docGrid w:linePitch="360"/>
        </w:sectPr>
      </w:pPr>
    </w:p>
    <w:p w14:paraId="63CC44D8" w14:textId="1D6F9F15" w:rsidR="00D27F92" w:rsidRPr="00C30872" w:rsidRDefault="00D27F92" w:rsidP="00B845B0">
      <w:pPr>
        <w:pStyle w:val="NormalBody"/>
        <w:rPr>
          <w:rFonts w:ascii="Calibri" w:hAnsi="Calibri" w:cs="Calibri"/>
          <w:lang w:val="pl-PL"/>
        </w:rPr>
      </w:pPr>
      <w:r w:rsidRPr="005776EE">
        <w:rPr>
          <w:rFonts w:ascii="Calibri" w:hAnsi="Calibri" w:cs="Calibri"/>
          <w:noProof/>
          <w:lang w:val="pl-PL" w:eastAsia="pl-PL"/>
        </w:rPr>
        <w:drawing>
          <wp:inline distT="0" distB="0" distL="0" distR="0" wp14:anchorId="339786B3" wp14:editId="56B3C500">
            <wp:extent cx="762000" cy="257175"/>
            <wp:effectExtent l="0" t="0" r="0" b="9525"/>
            <wp:docPr id="1353281518" name="Picture 4"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sidRPr="00C30872">
        <w:rPr>
          <w:rFonts w:ascii="Calibri" w:hAnsi="Calibri" w:cs="Calibri"/>
          <w:lang w:val="pl-PL"/>
        </w:rPr>
        <w:t>  </w:t>
      </w:r>
      <w:proofErr w:type="spellStart"/>
      <w:r w:rsidRPr="00C30872">
        <w:rPr>
          <w:rFonts w:ascii="Calibri" w:hAnsi="Calibri" w:cs="Calibri"/>
          <w:lang w:val="pl-PL"/>
        </w:rPr>
        <w:t>Licensed</w:t>
      </w:r>
      <w:proofErr w:type="spellEnd"/>
      <w:r w:rsidRPr="00C30872">
        <w:rPr>
          <w:rFonts w:ascii="Calibri" w:hAnsi="Calibri" w:cs="Calibri"/>
          <w:lang w:val="pl-PL"/>
        </w:rPr>
        <w:t xml:space="preserve"> </w:t>
      </w:r>
      <w:proofErr w:type="spellStart"/>
      <w:r w:rsidRPr="00C30872">
        <w:rPr>
          <w:rFonts w:ascii="Calibri" w:hAnsi="Calibri" w:cs="Calibri"/>
          <w:lang w:val="pl-PL"/>
        </w:rPr>
        <w:t>under</w:t>
      </w:r>
      <w:proofErr w:type="spellEnd"/>
      <w:r w:rsidRPr="00C30872">
        <w:rPr>
          <w:rFonts w:ascii="Calibri" w:hAnsi="Calibri" w:cs="Calibri"/>
          <w:lang w:val="pl-PL"/>
        </w:rPr>
        <w:t> </w:t>
      </w:r>
      <w:hyperlink r:id="rId19" w:tooltip="Original URL: https://creativecommons.org/licences/by/4.0/. Click or tap if you trust this link." w:history="1">
        <w:r w:rsidRPr="00C30872">
          <w:rPr>
            <w:rStyle w:val="Hipercze"/>
            <w:rFonts w:ascii="Calibri" w:hAnsi="Calibri" w:cs="Calibri"/>
            <w:lang w:val="pl-PL"/>
          </w:rPr>
          <w:t>CC BY 4.0</w:t>
        </w:r>
      </w:hyperlink>
      <w:r w:rsidRPr="00C30872">
        <w:rPr>
          <w:rFonts w:ascii="Calibri" w:hAnsi="Calibri" w:cs="Calibri"/>
          <w:lang w:val="pl-PL"/>
        </w:rPr>
        <w:t xml:space="preserve"> © International </w:t>
      </w:r>
      <w:proofErr w:type="spellStart"/>
      <w:r w:rsidRPr="00C30872">
        <w:rPr>
          <w:rFonts w:ascii="Calibri" w:hAnsi="Calibri" w:cs="Calibri"/>
          <w:lang w:val="pl-PL"/>
        </w:rPr>
        <w:t>Labour</w:t>
      </w:r>
      <w:proofErr w:type="spellEnd"/>
      <w:r w:rsidRPr="00C30872">
        <w:rPr>
          <w:rFonts w:ascii="Calibri" w:hAnsi="Calibri" w:cs="Calibri"/>
          <w:lang w:val="pl-PL"/>
        </w:rPr>
        <w:t xml:space="preserve"> Organization [</w:t>
      </w:r>
      <w:r w:rsidR="00F9391D" w:rsidRPr="00C30872">
        <w:rPr>
          <w:rFonts w:ascii="Calibri" w:hAnsi="Calibri" w:cs="Calibri"/>
          <w:lang w:val="pl-PL"/>
        </w:rPr>
        <w:t>2026</w:t>
      </w:r>
      <w:r w:rsidRPr="00C30872">
        <w:rPr>
          <w:rFonts w:ascii="Calibri" w:hAnsi="Calibri" w:cs="Calibri"/>
          <w:lang w:val="pl-PL"/>
        </w:rPr>
        <w:t>]</w:t>
      </w:r>
      <w:r w:rsidR="007D7BAD" w:rsidRPr="00C30872">
        <w:rPr>
          <w:rFonts w:ascii="Calibri" w:hAnsi="Calibri" w:cs="Calibri"/>
          <w:lang w:val="pl-PL"/>
        </w:rPr>
        <w:br/>
      </w:r>
      <w:r w:rsidRPr="00C30872">
        <w:rPr>
          <w:rFonts w:ascii="Calibri" w:hAnsi="Calibri" w:cs="Calibri"/>
          <w:lang w:val="pl-PL"/>
        </w:rPr>
        <w:t>ILO</w:t>
      </w:r>
      <w:r w:rsidR="00F16662" w:rsidRPr="00C30872">
        <w:rPr>
          <w:rFonts w:ascii="Calibri" w:hAnsi="Calibri" w:cs="Calibri"/>
          <w:lang w:val="pl-PL"/>
        </w:rPr>
        <w:t xml:space="preserve">. </w:t>
      </w:r>
      <w:r w:rsidR="00F16662" w:rsidRPr="00C30872">
        <w:rPr>
          <w:rFonts w:ascii="Calibri" w:hAnsi="Calibri" w:cs="Calibri"/>
          <w:i/>
          <w:iCs/>
          <w:lang w:val="pl-PL"/>
        </w:rPr>
        <w:t xml:space="preserve">The </w:t>
      </w:r>
      <w:proofErr w:type="spellStart"/>
      <w:r w:rsidR="00C95BE4" w:rsidRPr="00C30872">
        <w:rPr>
          <w:rFonts w:ascii="Calibri" w:hAnsi="Calibri" w:cs="Calibri"/>
          <w:i/>
          <w:iCs/>
          <w:lang w:val="pl-PL"/>
        </w:rPr>
        <w:t>psychosocial</w:t>
      </w:r>
      <w:proofErr w:type="spellEnd"/>
      <w:r w:rsidR="00C95BE4" w:rsidRPr="00C30872">
        <w:rPr>
          <w:rFonts w:ascii="Calibri" w:hAnsi="Calibri" w:cs="Calibri"/>
          <w:i/>
          <w:iCs/>
          <w:lang w:val="pl-PL"/>
        </w:rPr>
        <w:t xml:space="preserve"> </w:t>
      </w:r>
      <w:proofErr w:type="spellStart"/>
      <w:r w:rsidR="00C95BE4" w:rsidRPr="00C30872">
        <w:rPr>
          <w:rFonts w:ascii="Calibri" w:hAnsi="Calibri" w:cs="Calibri"/>
          <w:i/>
          <w:iCs/>
          <w:lang w:val="pl-PL"/>
        </w:rPr>
        <w:t>working</w:t>
      </w:r>
      <w:proofErr w:type="spellEnd"/>
      <w:r w:rsidR="00C95BE4" w:rsidRPr="00C30872">
        <w:rPr>
          <w:rFonts w:ascii="Calibri" w:hAnsi="Calibri" w:cs="Calibri"/>
          <w:i/>
          <w:iCs/>
          <w:lang w:val="pl-PL"/>
        </w:rPr>
        <w:t xml:space="preserve"> environment: Global </w:t>
      </w:r>
      <w:proofErr w:type="spellStart"/>
      <w:r w:rsidR="00C95BE4" w:rsidRPr="00C30872">
        <w:rPr>
          <w:rFonts w:ascii="Calibri" w:hAnsi="Calibri" w:cs="Calibri"/>
          <w:i/>
          <w:iCs/>
          <w:lang w:val="pl-PL"/>
        </w:rPr>
        <w:t>developments</w:t>
      </w:r>
      <w:proofErr w:type="spellEnd"/>
      <w:r w:rsidR="00C95BE4" w:rsidRPr="00C30872">
        <w:rPr>
          <w:rFonts w:ascii="Calibri" w:hAnsi="Calibri" w:cs="Calibri"/>
          <w:i/>
          <w:iCs/>
          <w:lang w:val="pl-PL"/>
        </w:rPr>
        <w:t xml:space="preserve"> and </w:t>
      </w:r>
      <w:proofErr w:type="spellStart"/>
      <w:r w:rsidR="00C95BE4" w:rsidRPr="00C30872">
        <w:rPr>
          <w:rFonts w:ascii="Calibri" w:hAnsi="Calibri" w:cs="Calibri"/>
          <w:i/>
          <w:iCs/>
          <w:lang w:val="pl-PL"/>
        </w:rPr>
        <w:t>pathways</w:t>
      </w:r>
      <w:proofErr w:type="spellEnd"/>
      <w:r w:rsidR="00C95BE4" w:rsidRPr="00C30872">
        <w:rPr>
          <w:rFonts w:ascii="Calibri" w:hAnsi="Calibri" w:cs="Calibri"/>
          <w:i/>
          <w:iCs/>
          <w:lang w:val="pl-PL"/>
        </w:rPr>
        <w:t xml:space="preserve"> for </w:t>
      </w:r>
      <w:proofErr w:type="spellStart"/>
      <w:r w:rsidR="00C95BE4" w:rsidRPr="00C30872">
        <w:rPr>
          <w:rFonts w:ascii="Calibri" w:hAnsi="Calibri" w:cs="Calibri"/>
          <w:i/>
          <w:iCs/>
          <w:lang w:val="pl-PL"/>
        </w:rPr>
        <w:t>action</w:t>
      </w:r>
      <w:proofErr w:type="spellEnd"/>
      <w:r w:rsidR="00C95BE4" w:rsidRPr="00C30872">
        <w:rPr>
          <w:rFonts w:ascii="Calibri" w:hAnsi="Calibri" w:cs="Calibri"/>
          <w:lang w:val="pl-PL"/>
        </w:rPr>
        <w:t xml:space="preserve">. </w:t>
      </w:r>
      <w:proofErr w:type="spellStart"/>
      <w:r w:rsidR="00C95BE4" w:rsidRPr="00C30872">
        <w:rPr>
          <w:rFonts w:ascii="Calibri" w:hAnsi="Calibri" w:cs="Calibri"/>
          <w:lang w:val="pl-PL"/>
        </w:rPr>
        <w:t>Executive</w:t>
      </w:r>
      <w:proofErr w:type="spellEnd"/>
      <w:r w:rsidR="00C95BE4" w:rsidRPr="00C30872">
        <w:rPr>
          <w:rFonts w:ascii="Calibri" w:hAnsi="Calibri" w:cs="Calibri"/>
          <w:lang w:val="pl-PL"/>
        </w:rPr>
        <w:t xml:space="preserve"> </w:t>
      </w:r>
      <w:proofErr w:type="spellStart"/>
      <w:r w:rsidR="009B0D3F" w:rsidRPr="00C30872">
        <w:rPr>
          <w:rFonts w:ascii="Calibri" w:hAnsi="Calibri" w:cs="Calibri"/>
          <w:lang w:val="pl-PL"/>
        </w:rPr>
        <w:t>s</w:t>
      </w:r>
      <w:r w:rsidR="00C95BE4" w:rsidRPr="00C30872">
        <w:rPr>
          <w:rFonts w:ascii="Calibri" w:hAnsi="Calibri" w:cs="Calibri"/>
          <w:lang w:val="pl-PL"/>
        </w:rPr>
        <w:t>ummary</w:t>
      </w:r>
      <w:proofErr w:type="spellEnd"/>
      <w:r w:rsidRPr="00C30872">
        <w:rPr>
          <w:rFonts w:ascii="Calibri" w:hAnsi="Calibri" w:cs="Calibri"/>
          <w:lang w:val="pl-PL"/>
        </w:rPr>
        <w:t xml:space="preserve">, </w:t>
      </w:r>
      <w:proofErr w:type="spellStart"/>
      <w:r w:rsidRPr="00C30872">
        <w:rPr>
          <w:rFonts w:ascii="Calibri" w:hAnsi="Calibri" w:cs="Calibri"/>
          <w:lang w:val="pl-PL"/>
        </w:rPr>
        <w:t>Geneva</w:t>
      </w:r>
      <w:proofErr w:type="spellEnd"/>
      <w:r w:rsidRPr="00C30872">
        <w:rPr>
          <w:rFonts w:ascii="Calibri" w:hAnsi="Calibri" w:cs="Calibri"/>
          <w:lang w:val="pl-PL"/>
        </w:rPr>
        <w:t xml:space="preserve">: International </w:t>
      </w:r>
      <w:proofErr w:type="spellStart"/>
      <w:r w:rsidRPr="00C30872">
        <w:rPr>
          <w:rFonts w:ascii="Calibri" w:hAnsi="Calibri" w:cs="Calibri"/>
          <w:lang w:val="pl-PL"/>
        </w:rPr>
        <w:t>Labour</w:t>
      </w:r>
      <w:proofErr w:type="spellEnd"/>
      <w:r w:rsidRPr="00C30872">
        <w:rPr>
          <w:rFonts w:ascii="Calibri" w:hAnsi="Calibri" w:cs="Calibri"/>
          <w:lang w:val="pl-PL"/>
        </w:rPr>
        <w:t xml:space="preserve"> Office, </w:t>
      </w:r>
      <w:r w:rsidR="00C95BE4" w:rsidRPr="00C30872">
        <w:rPr>
          <w:rFonts w:ascii="Calibri" w:hAnsi="Calibri" w:cs="Calibri"/>
          <w:lang w:val="pl-PL"/>
        </w:rPr>
        <w:t>2026</w:t>
      </w:r>
      <w:r w:rsidRPr="00C30872">
        <w:rPr>
          <w:rFonts w:ascii="Calibri" w:hAnsi="Calibri" w:cs="Calibri"/>
          <w:lang w:val="pl-PL"/>
        </w:rPr>
        <w:t>. © ILO.</w:t>
      </w:r>
      <w:bookmarkStart w:id="0" w:name="_GoBack"/>
      <w:bookmarkEnd w:id="0"/>
    </w:p>
    <w:p w14:paraId="1D402538" w14:textId="77777777" w:rsidR="00F64772" w:rsidRPr="00C30872" w:rsidRDefault="00F64772" w:rsidP="00B845B0">
      <w:pPr>
        <w:pStyle w:val="NormalBody"/>
        <w:rPr>
          <w:rFonts w:ascii="Calibri" w:hAnsi="Calibri" w:cs="Calibri"/>
          <w:lang w:val="pl-PL"/>
        </w:rPr>
      </w:pPr>
    </w:p>
    <w:p w14:paraId="5913E91E" w14:textId="77777777" w:rsidR="00F16662" w:rsidRPr="00C30872" w:rsidRDefault="00F16662" w:rsidP="00B845B0">
      <w:pPr>
        <w:pStyle w:val="NormalBody"/>
        <w:rPr>
          <w:rFonts w:ascii="Calibri" w:hAnsi="Calibri" w:cs="Calibri"/>
          <w:lang w:val="pl-PL"/>
        </w:rPr>
        <w:sectPr w:rsidR="00F16662" w:rsidRPr="00C30872" w:rsidSect="00F16662">
          <w:type w:val="continuous"/>
          <w:pgSz w:w="11906" w:h="16838"/>
          <w:pgMar w:top="2552" w:right="851" w:bottom="851" w:left="851" w:header="794" w:footer="567" w:gutter="0"/>
          <w:cols w:space="284"/>
          <w:docGrid w:linePitch="360"/>
        </w:sectPr>
      </w:pPr>
    </w:p>
    <w:p w14:paraId="2D1D53B6" w14:textId="77777777" w:rsidR="00C006B1" w:rsidRPr="00C30872" w:rsidRDefault="00B436DC" w:rsidP="00B845B0">
      <w:pPr>
        <w:pStyle w:val="NormalBody"/>
        <w:rPr>
          <w:rFonts w:ascii="Calibri" w:hAnsi="Calibri" w:cs="Calibri"/>
          <w:lang w:val="pl-PL"/>
        </w:rPr>
      </w:pPr>
      <w:r w:rsidRPr="005776EE">
        <w:rPr>
          <w:rFonts w:ascii="Calibri" w:hAnsi="Calibri" w:cs="Calibri"/>
          <w:noProof/>
          <w:lang w:val="pl-PL" w:eastAsia="pl-PL"/>
        </w:rPr>
        <mc:AlternateContent>
          <mc:Choice Requires="wps">
            <w:drawing>
              <wp:inline distT="0" distB="0" distL="0" distR="0" wp14:anchorId="2DA1AD9D" wp14:editId="2E8E366E">
                <wp:extent cx="6479540" cy="917575"/>
                <wp:effectExtent l="0" t="0" r="0" b="0"/>
                <wp:docPr id="136170737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9540" cy="917575"/>
                        </a:xfrm>
                        <a:prstGeom prst="rect">
                          <a:avLst/>
                        </a:prstGeom>
                        <a:noFill/>
                        <a:ln w="6350">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398"/>
                              <w:gridCol w:w="3397"/>
                            </w:tblGrid>
                            <w:tr w:rsidR="004008F5" w:rsidRPr="00BC55CA" w14:paraId="3F0FB39A" w14:textId="77777777" w:rsidTr="003A610E">
                              <w:trPr>
                                <w:cantSplit/>
                              </w:trPr>
                              <w:tc>
                                <w:tcPr>
                                  <w:tcW w:w="3402" w:type="dxa"/>
                                  <w:tcBorders>
                                    <w:top w:val="single" w:sz="48" w:space="0" w:color="1E2DBE"/>
                                    <w:left w:val="nil"/>
                                    <w:bottom w:val="single" w:sz="48" w:space="0" w:color="1E2DBE"/>
                                    <w:right w:val="single" w:sz="4" w:space="0" w:color="FFFFFF"/>
                                  </w:tcBorders>
                                  <w:shd w:val="clear" w:color="auto" w:fill="1E2DBE"/>
                                </w:tcPr>
                                <w:p w14:paraId="0C40CD82" w14:textId="6943928F" w:rsidR="004008F5" w:rsidRPr="00C30872" w:rsidRDefault="00D74792" w:rsidP="00B845B0">
                                  <w:pPr>
                                    <w:pStyle w:val="ContactDetailTitle"/>
                                    <w:rPr>
                                      <w:rFonts w:ascii="Calibri" w:hAnsi="Calibri" w:cs="Calibri"/>
                                      <w:lang w:val="pl-PL"/>
                                    </w:rPr>
                                  </w:pPr>
                                  <w:r w:rsidRPr="00C30872">
                                    <w:rPr>
                                      <w:rFonts w:ascii="Calibri" w:hAnsi="Calibri" w:cs="Calibri"/>
                                      <w:lang w:val="pl-PL"/>
                                    </w:rPr>
                                    <w:t>Dane kontaktowe:</w:t>
                                  </w:r>
                                </w:p>
                                <w:p w14:paraId="2D18A335" w14:textId="0EA7E0D1" w:rsidR="003A610E" w:rsidRPr="00C30872" w:rsidRDefault="00D74792" w:rsidP="00B845B0">
                                  <w:pPr>
                                    <w:pStyle w:val="ContactDetail"/>
                                    <w:rPr>
                                      <w:rFonts w:ascii="Calibri" w:hAnsi="Calibri" w:cs="Calibri"/>
                                      <w:lang w:val="fr-CH"/>
                                    </w:rPr>
                                  </w:pPr>
                                  <w:r w:rsidRPr="00C30872">
                                    <w:rPr>
                                      <w:rFonts w:ascii="Calibri" w:hAnsi="Calibri" w:cs="Calibri"/>
                                      <w:lang w:val="fr-CH"/>
                                    </w:rPr>
                                    <w:t>Międzynarodowa Organizacja Pracy</w:t>
                                  </w:r>
                                </w:p>
                                <w:p w14:paraId="2539FDD3" w14:textId="77777777" w:rsidR="003A610E" w:rsidRPr="00C30872" w:rsidRDefault="003A610E" w:rsidP="00B845B0">
                                  <w:pPr>
                                    <w:pStyle w:val="ContactDetail"/>
                                    <w:rPr>
                                      <w:rFonts w:ascii="Calibri" w:hAnsi="Calibri" w:cs="Calibri"/>
                                      <w:lang w:val="fr-CH"/>
                                    </w:rPr>
                                  </w:pPr>
                                  <w:r w:rsidRPr="00C30872">
                                    <w:rPr>
                                      <w:rFonts w:ascii="Calibri" w:hAnsi="Calibri" w:cs="Calibri"/>
                                      <w:lang w:val="fr-CH"/>
                                    </w:rPr>
                                    <w:t>Route des Morillons 4</w:t>
                                  </w:r>
                                </w:p>
                                <w:p w14:paraId="3CCB4BC3" w14:textId="77777777" w:rsidR="003A610E" w:rsidRPr="00C30872" w:rsidRDefault="003A610E" w:rsidP="00B845B0">
                                  <w:pPr>
                                    <w:pStyle w:val="ContactDetail"/>
                                    <w:rPr>
                                      <w:rFonts w:ascii="Calibri" w:hAnsi="Calibri" w:cs="Calibri"/>
                                    </w:rPr>
                                  </w:pPr>
                                  <w:r w:rsidRPr="00C30872">
                                    <w:rPr>
                                      <w:rFonts w:ascii="Calibri" w:hAnsi="Calibri" w:cs="Calibri"/>
                                    </w:rPr>
                                    <w:t>CH-1211 Geneva 22</w:t>
                                  </w:r>
                                </w:p>
                                <w:p w14:paraId="5E2655F3" w14:textId="2F9E6EE4" w:rsidR="003A610E" w:rsidRPr="00D27F92" w:rsidRDefault="00D74792" w:rsidP="00B845B0">
                                  <w:pPr>
                                    <w:pStyle w:val="ContactDetailTitle"/>
                                  </w:pPr>
                                  <w:proofErr w:type="spellStart"/>
                                  <w:r w:rsidRPr="00C30872">
                                    <w:rPr>
                                      <w:rFonts w:ascii="Calibri" w:hAnsi="Calibri" w:cs="Calibri"/>
                                    </w:rPr>
                                    <w:t>Szwajcaria</w:t>
                                  </w:r>
                                  <w:proofErr w:type="spellEnd"/>
                                </w:p>
                              </w:tc>
                              <w:tc>
                                <w:tcPr>
                                  <w:tcW w:w="3401" w:type="dxa"/>
                                  <w:tcBorders>
                                    <w:top w:val="single" w:sz="48" w:space="0" w:color="1E2DBE"/>
                                    <w:left w:val="single" w:sz="4" w:space="0" w:color="FFFFFF"/>
                                    <w:bottom w:val="single" w:sz="48" w:space="0" w:color="1E2DBE"/>
                                    <w:right w:val="single" w:sz="4" w:space="0" w:color="FFFFFF"/>
                                  </w:tcBorders>
                                  <w:shd w:val="clear" w:color="auto" w:fill="1E2DBE"/>
                                </w:tcPr>
                                <w:p w14:paraId="7FBC2A82" w14:textId="77777777" w:rsidR="003A610E" w:rsidRPr="002E0173" w:rsidRDefault="003A610E" w:rsidP="00B845B0">
                                  <w:pPr>
                                    <w:pStyle w:val="ContactDetail"/>
                                    <w:rPr>
                                      <w:lang w:val="fr-FR"/>
                                    </w:rPr>
                                  </w:pPr>
                                  <w:r w:rsidRPr="002E0173">
                                    <w:rPr>
                                      <w:lang w:val="fr-FR"/>
                                    </w:rPr>
                                    <w:t>T: +41 22 799 7239</w:t>
                                  </w:r>
                                </w:p>
                                <w:p w14:paraId="70B7B842" w14:textId="7CFB0A86" w:rsidR="004008F5" w:rsidRPr="002E0173" w:rsidRDefault="003A610E" w:rsidP="00B845B0">
                                  <w:pPr>
                                    <w:pStyle w:val="ContactDetail"/>
                                    <w:rPr>
                                      <w:lang w:val="fr-FR"/>
                                    </w:rPr>
                                  </w:pPr>
                                  <w:r w:rsidRPr="002E0173">
                                    <w:rPr>
                                      <w:lang w:val="fr-FR"/>
                                    </w:rPr>
                                    <w:t>E:</w:t>
                                  </w:r>
                                  <w:r w:rsidRPr="002E0173">
                                    <w:rPr>
                                      <w:lang w:val="fr-FR"/>
                                    </w:rPr>
                                    <w:t> </w:t>
                                  </w:r>
                                  <w:r w:rsidR="002E0173" w:rsidRPr="002E0173">
                                    <w:rPr>
                                      <w:lang w:val="fr-FR"/>
                                    </w:rPr>
                                    <w:t>OSHE</w:t>
                                  </w:r>
                                  <w:r w:rsidRPr="002E0173">
                                    <w:rPr>
                                      <w:lang w:val="fr-FR"/>
                                    </w:rPr>
                                    <w:t>@ilo.org</w:t>
                                  </w:r>
                                </w:p>
                              </w:tc>
                              <w:tc>
                                <w:tcPr>
                                  <w:tcW w:w="3401" w:type="dxa"/>
                                  <w:tcBorders>
                                    <w:top w:val="single" w:sz="48" w:space="0" w:color="1E2DBE"/>
                                    <w:left w:val="single" w:sz="4" w:space="0" w:color="FFFFFF"/>
                                    <w:bottom w:val="single" w:sz="48" w:space="0" w:color="1E2DBE"/>
                                    <w:right w:val="nil"/>
                                  </w:tcBorders>
                                  <w:shd w:val="clear" w:color="auto" w:fill="1E2DBE"/>
                                </w:tcPr>
                                <w:p w14:paraId="53249FB5" w14:textId="22236C80" w:rsidR="004008F5" w:rsidRPr="002E0173" w:rsidRDefault="004008F5" w:rsidP="00B845B0">
                                  <w:pPr>
                                    <w:pStyle w:val="ContactDetail"/>
                                    <w:rPr>
                                      <w:lang w:val="fr-FR"/>
                                    </w:rPr>
                                  </w:pPr>
                                </w:p>
                              </w:tc>
                            </w:tr>
                            <w:tr w:rsidR="004008F5" w:rsidRPr="003A610E" w14:paraId="73D23556" w14:textId="77777777" w:rsidTr="003A610E">
                              <w:trPr>
                                <w:cantSplit/>
                              </w:trPr>
                              <w:tc>
                                <w:tcPr>
                                  <w:tcW w:w="10204" w:type="dxa"/>
                                  <w:gridSpan w:val="3"/>
                                  <w:tcBorders>
                                    <w:top w:val="single" w:sz="48" w:space="0" w:color="1E2DBE"/>
                                    <w:left w:val="nil"/>
                                    <w:bottom w:val="nil"/>
                                    <w:right w:val="nil"/>
                                  </w:tcBorders>
                                  <w:tcMar>
                                    <w:top w:w="57" w:type="dxa"/>
                                    <w:left w:w="85" w:type="dxa"/>
                                    <w:bottom w:w="57" w:type="dxa"/>
                                    <w:right w:w="0" w:type="dxa"/>
                                  </w:tcMar>
                                </w:tcPr>
                                <w:p w14:paraId="5869F469" w14:textId="7C14F912" w:rsidR="004008F5" w:rsidRPr="003A610E" w:rsidRDefault="004008F5" w:rsidP="00B845B0">
                                  <w:pPr>
                                    <w:pStyle w:val="Copyright"/>
                                  </w:pPr>
                                  <w:r w:rsidRPr="003A610E">
                                    <w:t xml:space="preserve">© International Labour Organization </w:t>
                                  </w:r>
                                  <w:r w:rsidRPr="003A610E">
                                    <w:fldChar w:fldCharType="begin"/>
                                  </w:r>
                                  <w:r w:rsidRPr="003A610E">
                                    <w:instrText xml:space="preserve"> DATE  \@ "yyyy"  \* MERGEFORMAT </w:instrText>
                                  </w:r>
                                  <w:r w:rsidRPr="003A610E">
                                    <w:fldChar w:fldCharType="separate"/>
                                  </w:r>
                                  <w:r w:rsidR="00C30872">
                                    <w:rPr>
                                      <w:noProof/>
                                    </w:rPr>
                                    <w:t>2026</w:t>
                                  </w:r>
                                  <w:r w:rsidRPr="003A610E">
                                    <w:fldChar w:fldCharType="end"/>
                                  </w:r>
                                </w:p>
                              </w:tc>
                            </w:tr>
                          </w:tbl>
                          <w:p w14:paraId="6255123C" w14:textId="77777777" w:rsidR="004008F5" w:rsidRDefault="004008F5" w:rsidP="00E83632">
                            <w:pPr>
                              <w:spacing w:before="0" w:after="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2DA1AD9D" id="_x0000_t202" coordsize="21600,21600" o:spt="202" path="m,l,21600r21600,l21600,xe">
                <v:stroke joinstyle="miter"/>
                <v:path gradientshapeok="t" o:connecttype="rect"/>
              </v:shapetype>
              <v:shape id="Zone de texte 1" o:spid="_x0000_s1028" type="#_x0000_t202" style="width:510.2pt;height:7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" filled="f" stroked="f" strokeweight=".5pt">
                <v:path arrowok="t"/>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398"/>
                        <w:gridCol w:w="3397"/>
                      </w:tblGrid>
                      <w:tr w:rsidR="004008F5" w:rsidRPr="00BC55CA" w14:paraId="3F0FB39A" w14:textId="77777777" w:rsidTr="003A610E">
                        <w:trPr>
                          <w:cantSplit/>
                        </w:trPr>
                        <w:tc>
                          <w:tcPr>
                            <w:tcW w:w="3402" w:type="dxa"/>
                            <w:tcBorders>
                              <w:top w:val="single" w:sz="48" w:space="0" w:color="1E2DBE"/>
                              <w:left w:val="nil"/>
                              <w:bottom w:val="single" w:sz="48" w:space="0" w:color="1E2DBE"/>
                              <w:right w:val="single" w:sz="4" w:space="0" w:color="FFFFFF"/>
                            </w:tcBorders>
                            <w:shd w:val="clear" w:color="auto" w:fill="1E2DBE"/>
                          </w:tcPr>
                          <w:p w14:paraId="0C40CD82" w14:textId="6943928F" w:rsidR="004008F5" w:rsidRPr="00C30872" w:rsidRDefault="00D74792" w:rsidP="00B845B0">
                            <w:pPr>
                              <w:pStyle w:val="ContactDetailTitle"/>
                              <w:rPr>
                                <w:rFonts w:ascii="Calibri" w:hAnsi="Calibri" w:cs="Calibri"/>
                                <w:lang w:val="pl-PL"/>
                              </w:rPr>
                            </w:pPr>
                            <w:r w:rsidRPr="00C30872">
                              <w:rPr>
                                <w:rFonts w:ascii="Calibri" w:hAnsi="Calibri" w:cs="Calibri"/>
                                <w:lang w:val="pl-PL"/>
                              </w:rPr>
                              <w:t>Dane kontaktowe:</w:t>
                            </w:r>
                          </w:p>
                          <w:p w14:paraId="2D18A335" w14:textId="0EA7E0D1" w:rsidR="003A610E" w:rsidRPr="00C30872" w:rsidRDefault="00D74792" w:rsidP="00B845B0">
                            <w:pPr>
                              <w:pStyle w:val="ContactDetail"/>
                              <w:rPr>
                                <w:rFonts w:ascii="Calibri" w:hAnsi="Calibri" w:cs="Calibri"/>
                                <w:lang w:val="fr-CH"/>
                              </w:rPr>
                            </w:pPr>
                            <w:r w:rsidRPr="00C30872">
                              <w:rPr>
                                <w:rFonts w:ascii="Calibri" w:hAnsi="Calibri" w:cs="Calibri"/>
                                <w:lang w:val="fr-CH"/>
                              </w:rPr>
                              <w:t>Międzynarodowa Organizacja Pracy</w:t>
                            </w:r>
                          </w:p>
                          <w:p w14:paraId="2539FDD3" w14:textId="77777777" w:rsidR="003A610E" w:rsidRPr="00C30872" w:rsidRDefault="003A610E" w:rsidP="00B845B0">
                            <w:pPr>
                              <w:pStyle w:val="ContactDetail"/>
                              <w:rPr>
                                <w:rFonts w:ascii="Calibri" w:hAnsi="Calibri" w:cs="Calibri"/>
                                <w:lang w:val="fr-CH"/>
                              </w:rPr>
                            </w:pPr>
                            <w:r w:rsidRPr="00C30872">
                              <w:rPr>
                                <w:rFonts w:ascii="Calibri" w:hAnsi="Calibri" w:cs="Calibri"/>
                                <w:lang w:val="fr-CH"/>
                              </w:rPr>
                              <w:t>Route des Morillons 4</w:t>
                            </w:r>
                          </w:p>
                          <w:p w14:paraId="3CCB4BC3" w14:textId="77777777" w:rsidR="003A610E" w:rsidRPr="00C30872" w:rsidRDefault="003A610E" w:rsidP="00B845B0">
                            <w:pPr>
                              <w:pStyle w:val="ContactDetail"/>
                              <w:rPr>
                                <w:rFonts w:ascii="Calibri" w:hAnsi="Calibri" w:cs="Calibri"/>
                              </w:rPr>
                            </w:pPr>
                            <w:r w:rsidRPr="00C30872">
                              <w:rPr>
                                <w:rFonts w:ascii="Calibri" w:hAnsi="Calibri" w:cs="Calibri"/>
                              </w:rPr>
                              <w:t>CH-1211 Geneva 22</w:t>
                            </w:r>
                          </w:p>
                          <w:p w14:paraId="5E2655F3" w14:textId="2F9E6EE4" w:rsidR="003A610E" w:rsidRPr="00D27F92" w:rsidRDefault="00D74792" w:rsidP="00B845B0">
                            <w:pPr>
                              <w:pStyle w:val="ContactDetailTitle"/>
                            </w:pPr>
                            <w:proofErr w:type="spellStart"/>
                            <w:r w:rsidRPr="00C30872">
                              <w:rPr>
                                <w:rFonts w:ascii="Calibri" w:hAnsi="Calibri" w:cs="Calibri"/>
                              </w:rPr>
                              <w:t>Szwajcaria</w:t>
                            </w:r>
                            <w:proofErr w:type="spellEnd"/>
                          </w:p>
                        </w:tc>
                        <w:tc>
                          <w:tcPr>
                            <w:tcW w:w="3401" w:type="dxa"/>
                            <w:tcBorders>
                              <w:top w:val="single" w:sz="48" w:space="0" w:color="1E2DBE"/>
                              <w:left w:val="single" w:sz="4" w:space="0" w:color="FFFFFF"/>
                              <w:bottom w:val="single" w:sz="48" w:space="0" w:color="1E2DBE"/>
                              <w:right w:val="single" w:sz="4" w:space="0" w:color="FFFFFF"/>
                            </w:tcBorders>
                            <w:shd w:val="clear" w:color="auto" w:fill="1E2DBE"/>
                          </w:tcPr>
                          <w:p w14:paraId="7FBC2A82" w14:textId="77777777" w:rsidR="003A610E" w:rsidRPr="002E0173" w:rsidRDefault="003A610E" w:rsidP="00B845B0">
                            <w:pPr>
                              <w:pStyle w:val="ContactDetail"/>
                              <w:rPr>
                                <w:lang w:val="fr-FR"/>
                              </w:rPr>
                            </w:pPr>
                            <w:r w:rsidRPr="002E0173">
                              <w:rPr>
                                <w:lang w:val="fr-FR"/>
                              </w:rPr>
                              <w:t>T: +41 22 799 7239</w:t>
                            </w:r>
                          </w:p>
                          <w:p w14:paraId="70B7B842" w14:textId="7CFB0A86" w:rsidR="004008F5" w:rsidRPr="002E0173" w:rsidRDefault="003A610E" w:rsidP="00B845B0">
                            <w:pPr>
                              <w:pStyle w:val="ContactDetail"/>
                              <w:rPr>
                                <w:lang w:val="fr-FR"/>
                              </w:rPr>
                            </w:pPr>
                            <w:r w:rsidRPr="002E0173">
                              <w:rPr>
                                <w:lang w:val="fr-FR"/>
                              </w:rPr>
                              <w:t>E:</w:t>
                            </w:r>
                            <w:r w:rsidRPr="002E0173">
                              <w:rPr>
                                <w:lang w:val="fr-FR"/>
                              </w:rPr>
                              <w:t> </w:t>
                            </w:r>
                            <w:r w:rsidR="002E0173" w:rsidRPr="002E0173">
                              <w:rPr>
                                <w:lang w:val="fr-FR"/>
                              </w:rPr>
                              <w:t>OSHE</w:t>
                            </w:r>
                            <w:r w:rsidRPr="002E0173">
                              <w:rPr>
                                <w:lang w:val="fr-FR"/>
                              </w:rPr>
                              <w:t>@ilo.org</w:t>
                            </w:r>
                          </w:p>
                        </w:tc>
                        <w:tc>
                          <w:tcPr>
                            <w:tcW w:w="3401" w:type="dxa"/>
                            <w:tcBorders>
                              <w:top w:val="single" w:sz="48" w:space="0" w:color="1E2DBE"/>
                              <w:left w:val="single" w:sz="4" w:space="0" w:color="FFFFFF"/>
                              <w:bottom w:val="single" w:sz="48" w:space="0" w:color="1E2DBE"/>
                              <w:right w:val="nil"/>
                            </w:tcBorders>
                            <w:shd w:val="clear" w:color="auto" w:fill="1E2DBE"/>
                          </w:tcPr>
                          <w:p w14:paraId="53249FB5" w14:textId="22236C80" w:rsidR="004008F5" w:rsidRPr="002E0173" w:rsidRDefault="004008F5" w:rsidP="00B845B0">
                            <w:pPr>
                              <w:pStyle w:val="ContactDetail"/>
                              <w:rPr>
                                <w:lang w:val="fr-FR"/>
                              </w:rPr>
                            </w:pPr>
                          </w:p>
                        </w:tc>
                      </w:tr>
                      <w:tr w:rsidR="004008F5" w:rsidRPr="003A610E" w14:paraId="73D23556" w14:textId="77777777" w:rsidTr="003A610E">
                        <w:trPr>
                          <w:cantSplit/>
                        </w:trPr>
                        <w:tc>
                          <w:tcPr>
                            <w:tcW w:w="10204" w:type="dxa"/>
                            <w:gridSpan w:val="3"/>
                            <w:tcBorders>
                              <w:top w:val="single" w:sz="48" w:space="0" w:color="1E2DBE"/>
                              <w:left w:val="nil"/>
                              <w:bottom w:val="nil"/>
                              <w:right w:val="nil"/>
                            </w:tcBorders>
                            <w:tcMar>
                              <w:top w:w="57" w:type="dxa"/>
                              <w:left w:w="85" w:type="dxa"/>
                              <w:bottom w:w="57" w:type="dxa"/>
                              <w:right w:w="0" w:type="dxa"/>
                            </w:tcMar>
                          </w:tcPr>
                          <w:p w14:paraId="5869F469" w14:textId="7C14F912" w:rsidR="004008F5" w:rsidRPr="003A610E" w:rsidRDefault="004008F5" w:rsidP="00B845B0">
                            <w:pPr>
                              <w:pStyle w:val="Copyright"/>
                            </w:pPr>
                            <w:r w:rsidRPr="003A610E">
                              <w:t xml:space="preserve">© International Labour Organization </w:t>
                            </w:r>
                            <w:r w:rsidRPr="003A610E">
                              <w:fldChar w:fldCharType="begin"/>
                            </w:r>
                            <w:r w:rsidRPr="003A610E">
                              <w:instrText xml:space="preserve"> DATE  \@ "yyyy"  \* MERGEFORMAT </w:instrText>
                            </w:r>
                            <w:r w:rsidRPr="003A610E">
                              <w:fldChar w:fldCharType="separate"/>
                            </w:r>
                            <w:r w:rsidR="00C30872">
                              <w:rPr>
                                <w:noProof/>
                              </w:rPr>
                              <w:t>2026</w:t>
                            </w:r>
                            <w:r w:rsidRPr="003A610E">
                              <w:fldChar w:fldCharType="end"/>
                            </w:r>
                          </w:p>
                        </w:tc>
                      </w:tr>
                    </w:tbl>
                    <w:p w14:paraId="6255123C" w14:textId="77777777" w:rsidR="004008F5" w:rsidRDefault="004008F5" w:rsidP="00E83632">
                      <w:pPr>
                        <w:spacing w:before="0" w:after="0"/>
                      </w:pPr>
                    </w:p>
                  </w:txbxContent>
                </v:textbox>
                <w10:anchorlock/>
              </v:shape>
            </w:pict>
          </mc:Fallback>
        </mc:AlternateContent>
      </w:r>
    </w:p>
    <w:sectPr w:rsidR="00C006B1" w:rsidRPr="00C30872" w:rsidSect="00A67664">
      <w:type w:val="continuous"/>
      <w:pgSz w:w="11906" w:h="16838"/>
      <w:pgMar w:top="2552" w:right="851" w:bottom="851" w:left="851" w:header="794" w:footer="567"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1E475" w14:textId="77777777" w:rsidR="005D1665" w:rsidRDefault="005D1665" w:rsidP="00D83F6C">
      <w:pPr>
        <w:spacing w:line="240" w:lineRule="auto"/>
      </w:pPr>
      <w:r>
        <w:separator/>
      </w:r>
    </w:p>
  </w:endnote>
  <w:endnote w:type="continuationSeparator" w:id="0">
    <w:p w14:paraId="38A2A6C5" w14:textId="77777777" w:rsidR="005D1665" w:rsidRDefault="005D1665" w:rsidP="00D83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 w:name="Noto Sans SemBd">
    <w:altName w:val="Arial"/>
    <w:charset w:val="01"/>
    <w:family w:val="swiss"/>
    <w:pitch w:val="variable"/>
    <w:sig w:usb0="E00002FF" w:usb1="4000001F" w:usb2="08000029" w:usb3="00000000" w:csb0="00000000" w:csb1="00000000"/>
  </w:font>
  <w:font w:name="Overpass Light">
    <w:altName w:val="Times New Roman"/>
    <w:charset w:val="00"/>
    <w:family w:val="auto"/>
    <w:pitch w:val="variable"/>
    <w:sig w:usb0="00000001" w:usb1="00000020" w:usb2="00000000" w:usb3="00000000" w:csb0="00000093" w:csb1="00000000"/>
  </w:font>
  <w:font w:name="Overpass">
    <w:altName w:val="Courier New"/>
    <w:charset w:val="00"/>
    <w:family w:val="auto"/>
    <w:pitch w:val="variable"/>
    <w:sig w:usb0="00000007" w:usb1="00000020" w:usb2="00000000" w:usb3="00000000" w:csb0="00000093"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09"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07A46" w14:textId="77777777" w:rsidR="00624B45" w:rsidRDefault="00624B4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3FFC4" w14:textId="77777777" w:rsidR="00624B45" w:rsidRDefault="00624B4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A47ED" w14:textId="77777777" w:rsidR="00624B45" w:rsidRDefault="00624B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A8C35" w14:textId="77777777" w:rsidR="005D1665" w:rsidRPr="00AE3A50" w:rsidRDefault="005D1665" w:rsidP="00B845B0">
      <w:pPr>
        <w:pStyle w:val="LineFootnote"/>
      </w:pPr>
    </w:p>
  </w:footnote>
  <w:footnote w:type="continuationSeparator" w:id="0">
    <w:p w14:paraId="7A74FD97" w14:textId="77777777" w:rsidR="005D1665" w:rsidRDefault="005D1665" w:rsidP="00D83F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00605" w14:textId="77777777" w:rsidR="00624B45" w:rsidRDefault="00624B4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B744A" w14:textId="2B050615" w:rsidR="004008F5" w:rsidRPr="00C30872" w:rsidRDefault="004008F5" w:rsidP="00B845B0">
    <w:pPr>
      <w:pStyle w:val="Nagwek"/>
      <w:rPr>
        <w:lang w:val="pl-PL"/>
      </w:rPr>
    </w:pPr>
    <w:r>
      <w:sym w:font="Wingdings 3" w:char="F075"/>
    </w:r>
    <w:r w:rsidRPr="00C30872">
      <w:rPr>
        <w:lang w:val="pl-PL"/>
      </w:rPr>
      <w:tab/>
    </w:r>
    <w:r w:rsidR="00624B45" w:rsidRPr="00C30872">
      <w:rPr>
        <w:b/>
        <w:lang w:val="pl-PL"/>
      </w:rPr>
      <w:t>MOP</w:t>
    </w:r>
    <w:r w:rsidRPr="00C30872">
      <w:rPr>
        <w:b/>
        <w:lang w:val="pl-PL"/>
      </w:rPr>
      <w:t xml:space="preserve"> </w:t>
    </w:r>
    <w:r w:rsidR="00624B45" w:rsidRPr="00C30872">
      <w:rPr>
        <w:b/>
        <w:lang w:val="pl-PL"/>
      </w:rPr>
      <w:t>Streszczenie raportu</w:t>
    </w:r>
    <w:r w:rsidRPr="00C30872">
      <w:rPr>
        <w:lang w:val="pl-PL"/>
      </w:rPr>
      <w:tab/>
    </w:r>
    <w:r w:rsidRPr="00503D89">
      <w:rPr>
        <w:rStyle w:val="Folio"/>
      </w:rPr>
      <w:fldChar w:fldCharType="begin"/>
    </w:r>
    <w:r w:rsidRPr="00C30872">
      <w:rPr>
        <w:rStyle w:val="Folio"/>
        <w:lang w:val="pl-PL"/>
      </w:rPr>
      <w:instrText xml:space="preserve"> PAGE  \* Arabic  \* MERGEFORMAT </w:instrText>
    </w:r>
    <w:r w:rsidRPr="00503D89">
      <w:rPr>
        <w:rStyle w:val="Folio"/>
      </w:rPr>
      <w:fldChar w:fldCharType="separate"/>
    </w:r>
    <w:r w:rsidR="00C30872">
      <w:rPr>
        <w:rStyle w:val="Folio"/>
        <w:noProof/>
        <w:lang w:val="pl-PL"/>
      </w:rPr>
      <w:t>4</w:t>
    </w:r>
    <w:r w:rsidRPr="00503D89">
      <w:rPr>
        <w:rStyle w:val="Folio"/>
      </w:rPr>
      <w:fldChar w:fldCharType="end"/>
    </w:r>
  </w:p>
  <w:p w14:paraId="5CC067A7" w14:textId="235DC257" w:rsidR="00C21733" w:rsidRPr="00C30872" w:rsidRDefault="00C21733" w:rsidP="00B845B0">
    <w:pPr>
      <w:pStyle w:val="Nagwek"/>
      <w:rPr>
        <w:lang w:val="pl-PL"/>
      </w:rPr>
    </w:pPr>
    <w:r w:rsidRPr="00C30872">
      <w:rPr>
        <w:lang w:val="pl-PL"/>
      </w:rPr>
      <w:tab/>
    </w:r>
    <w:r w:rsidR="00624B45" w:rsidRPr="00C30872">
      <w:rPr>
        <w:lang w:val="pl-PL"/>
      </w:rPr>
      <w:t>Psychospo</w:t>
    </w:r>
    <w:r w:rsidR="00624B45" w:rsidRPr="00C30872">
      <w:rPr>
        <w:rFonts w:ascii="Calibri" w:hAnsi="Calibri" w:cs="Calibri"/>
        <w:lang w:val="pl-PL"/>
      </w:rPr>
      <w:t>łeczne środowisko pracy. Globalne trendy I kierunki działania</w:t>
    </w:r>
    <w:r w:rsidRPr="00C30872">
      <w:rPr>
        <w:lang w:val="pl-PL"/>
      </w:rPr>
      <w:tab/>
    </w:r>
  </w:p>
  <w:p w14:paraId="0B68F495" w14:textId="1F1D756D" w:rsidR="004008F5" w:rsidRPr="00C30872" w:rsidRDefault="004008F5" w:rsidP="00B845B0">
    <w:pPr>
      <w:pStyle w:val="RunningTitleAutomatic"/>
      <w:rPr>
        <w:lang w:val="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9F409" w14:textId="77777777" w:rsidR="004008F5" w:rsidRPr="008948F9" w:rsidRDefault="004008F5" w:rsidP="00B845B0">
    <w:pPr>
      <w:pStyle w:val="Nagwek"/>
    </w:pPr>
    <w:r>
      <w:sym w:font="Wingdings 3" w:char="F075"/>
    </w:r>
    <w:r>
      <w:tab/>
    </w:r>
    <w:r w:rsidRPr="00A02411">
      <w:rPr>
        <w:b/>
      </w:rPr>
      <w:t>ILO Brief</w:t>
    </w:r>
    <w:r>
      <w:tab/>
    </w:r>
    <w:r w:rsidRPr="00503D89">
      <w:rPr>
        <w:rStyle w:val="Folio"/>
      </w:rPr>
      <w:fldChar w:fldCharType="begin"/>
    </w:r>
    <w:r w:rsidRPr="00503D89">
      <w:rPr>
        <w:rStyle w:val="Folio"/>
      </w:rPr>
      <w:instrText xml:space="preserve"> PAGE  \* Arabic  \* MERGEFORMAT </w:instrText>
    </w:r>
    <w:r w:rsidRPr="00503D89">
      <w:rPr>
        <w:rStyle w:val="Folio"/>
      </w:rPr>
      <w:fldChar w:fldCharType="separate"/>
    </w:r>
    <w:r>
      <w:rPr>
        <w:rStyle w:val="Folio"/>
      </w:rPr>
      <w:t>2</w:t>
    </w:r>
    <w:r w:rsidRPr="00503D89">
      <w:rPr>
        <w:rStyle w:val="Folio"/>
      </w:rPr>
      <w:fldChar w:fldCharType="end"/>
    </w:r>
  </w:p>
  <w:p w14:paraId="6103C43A" w14:textId="3EDE5603" w:rsidR="004008F5" w:rsidRPr="00A02411" w:rsidRDefault="00C13EBB" w:rsidP="00B845B0">
    <w:pPr>
      <w:pStyle w:val="RunningTitleAutomatic"/>
    </w:pPr>
    <w:r>
      <w:rPr>
        <w:b/>
        <w:bCs/>
        <w:lang w:val="en-US"/>
      </w:rPr>
      <w:fldChar w:fldCharType="begin"/>
    </w:r>
    <w:r>
      <w:rPr>
        <w:b/>
        <w:bCs/>
        <w:lang w:val="en-US"/>
      </w:rPr>
      <w:instrText xml:space="preserve"> STYLEREF  MainTitle \t  \* MERGEFORMAT </w:instrText>
    </w:r>
    <w:r>
      <w:rPr>
        <w:b/>
        <w:bCs/>
        <w:lang w:val="en-US"/>
      </w:rPr>
      <w:fldChar w:fldCharType="separate"/>
    </w:r>
    <w:r w:rsidR="000C6191">
      <w:rPr>
        <w:lang w:val="pl-PL"/>
      </w:rPr>
      <w:t>Błąd! W dokumencie nie ma tekstu o podanym stylu.</w:t>
    </w:r>
    <w:r>
      <w:rPr>
        <w:b/>
        <w:bCs/>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870D4"/>
    <w:multiLevelType w:val="hybridMultilevel"/>
    <w:tmpl w:val="A4969A6C"/>
    <w:lvl w:ilvl="0" w:tplc="54103D7E">
      <w:start w:val="1"/>
      <w:numFmt w:val="bullet"/>
      <w:lvlText w:val=""/>
      <w:lvlJc w:val="left"/>
      <w:pPr>
        <w:ind w:left="72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38471CF"/>
    <w:multiLevelType w:val="hybridMultilevel"/>
    <w:tmpl w:val="A5309EC2"/>
    <w:lvl w:ilvl="0" w:tplc="59EAF39A">
      <w:start w:val="1"/>
      <w:numFmt w:val="bullet"/>
      <w:lvlText w:val="u"/>
      <w:lvlJc w:val="left"/>
      <w:pPr>
        <w:ind w:left="360" w:hanging="360"/>
      </w:pPr>
      <w:rPr>
        <w:rFonts w:ascii="Wingdings 3" w:hAnsi="Wingdings 3" w:hint="default"/>
        <w:color w:val="FD1F3F"/>
        <w:sz w:val="18"/>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4FA6E03"/>
    <w:multiLevelType w:val="multilevel"/>
    <w:tmpl w:val="44F0FE66"/>
    <w:numStyleLink w:val="ListNumILO"/>
  </w:abstractNum>
  <w:abstractNum w:abstractNumId="3" w15:restartNumberingAfterBreak="0">
    <w:nsid w:val="2B8C42C9"/>
    <w:multiLevelType w:val="multilevel"/>
    <w:tmpl w:val="BAA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9D2548"/>
    <w:multiLevelType w:val="hybridMultilevel"/>
    <w:tmpl w:val="A0C085E6"/>
    <w:lvl w:ilvl="0" w:tplc="07A839C0">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E884A97"/>
    <w:multiLevelType w:val="hybridMultilevel"/>
    <w:tmpl w:val="476092FE"/>
    <w:lvl w:ilvl="0" w:tplc="A7283F34">
      <w:start w:val="1"/>
      <w:numFmt w:val="bullet"/>
      <w:pStyle w:val="KeyList"/>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49200D1"/>
    <w:multiLevelType w:val="hybridMultilevel"/>
    <w:tmpl w:val="0A2C90CC"/>
    <w:lvl w:ilvl="0" w:tplc="864A3062">
      <w:start w:val="1"/>
      <w:numFmt w:val="bullet"/>
      <w:lvlText w:val="u"/>
      <w:lvlJc w:val="left"/>
      <w:pPr>
        <w:ind w:left="360" w:hanging="360"/>
      </w:pPr>
      <w:rPr>
        <w:rFonts w:ascii="Wingdings 3" w:hAnsi="Wingdings 3" w:hint="default"/>
        <w:color w:val="FFCD2D" w:themeColor="accent3"/>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55D6826"/>
    <w:multiLevelType w:val="multilevel"/>
    <w:tmpl w:val="775E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2107D"/>
    <w:multiLevelType w:val="hybridMultilevel"/>
    <w:tmpl w:val="C436CE98"/>
    <w:lvl w:ilvl="0" w:tplc="1F3472EE">
      <w:start w:val="1"/>
      <w:numFmt w:val="bullet"/>
      <w:pStyle w:val="DocumentType"/>
      <w:lvlText w:val=""/>
      <w:lvlJc w:val="left"/>
      <w:pPr>
        <w:ind w:left="1080" w:hanging="360"/>
      </w:pPr>
      <w:rPr>
        <w:rFonts w:ascii="Wingdings 3" w:hAnsi="Wingdings 3" w:cs="Symbol" w:hint="default"/>
        <w:color w:val="FFCD2D"/>
        <w:position w:val="4"/>
        <w:sz w:val="32"/>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3AB915A4"/>
    <w:multiLevelType w:val="hybridMultilevel"/>
    <w:tmpl w:val="DFCA0572"/>
    <w:lvl w:ilvl="0" w:tplc="6092281E">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B668D6"/>
    <w:multiLevelType w:val="multilevel"/>
    <w:tmpl w:val="44F0FE66"/>
    <w:styleLink w:val="ListNumILO"/>
    <w:lvl w:ilvl="0">
      <w:start w:val="1"/>
      <w:numFmt w:val="decimal"/>
      <w:pStyle w:val="ListNum1"/>
      <w:lvlText w:val="%1."/>
      <w:lvlJc w:val="left"/>
      <w:pPr>
        <w:ind w:left="227" w:hanging="227"/>
      </w:pPr>
      <w:rPr>
        <w:rFonts w:hint="default"/>
      </w:rPr>
    </w:lvl>
    <w:lvl w:ilvl="1">
      <w:start w:val="1"/>
      <w:numFmt w:val="lowerLetter"/>
      <w:pStyle w:val="ListNum2"/>
      <w:lvlText w:val="%2."/>
      <w:lvlJc w:val="left"/>
      <w:pPr>
        <w:ind w:left="454" w:hanging="22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505928"/>
    <w:multiLevelType w:val="hybridMultilevel"/>
    <w:tmpl w:val="5BA43478"/>
    <w:lvl w:ilvl="0" w:tplc="EAC423D8">
      <w:start w:val="1"/>
      <w:numFmt w:val="bullet"/>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9C01582"/>
    <w:multiLevelType w:val="multilevel"/>
    <w:tmpl w:val="8688B326"/>
    <w:styleLink w:val="ListNoNumILO"/>
    <w:lvl w:ilvl="0">
      <w:start w:val="1"/>
      <w:numFmt w:val="bullet"/>
      <w:pStyle w:val="ListBullet1"/>
      <w:lvlText w:val="●"/>
      <w:lvlJc w:val="left"/>
      <w:pPr>
        <w:ind w:left="227" w:hanging="227"/>
      </w:pPr>
      <w:rPr>
        <w:rFonts w:ascii="Verdana" w:hAnsi="Verdana" w:hint="default"/>
        <w:color w:val="1E2DBE"/>
      </w:rPr>
    </w:lvl>
    <w:lvl w:ilvl="1">
      <w:start w:val="1"/>
      <w:numFmt w:val="bullet"/>
      <w:lvlRestart w:val="0"/>
      <w:pStyle w:val="ListBullet2"/>
      <w:lvlText w:val="●"/>
      <w:lvlJc w:val="left"/>
      <w:pPr>
        <w:ind w:left="454" w:hanging="227"/>
      </w:pPr>
      <w:rPr>
        <w:rFonts w:ascii="Verdana" w:hAnsi="Verdana" w:hint="default"/>
        <w:color w:val="1E2DB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7475B6"/>
    <w:multiLevelType w:val="multilevel"/>
    <w:tmpl w:val="303A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CB77E5"/>
    <w:multiLevelType w:val="hybridMultilevel"/>
    <w:tmpl w:val="1D000AD0"/>
    <w:lvl w:ilvl="0" w:tplc="D0EA5DA6">
      <w:start w:val="1"/>
      <w:numFmt w:val="bullet"/>
      <w:lvlText w:val=""/>
      <w:lvlJc w:val="left"/>
      <w:pPr>
        <w:ind w:left="720" w:hanging="360"/>
      </w:pPr>
      <w:rPr>
        <w:rFonts w:ascii="Wingdings 3" w:hAnsi="Wingdings 3" w:cs="Symbol" w:hint="default"/>
        <w:color w:val="FFCD2D"/>
        <w:sz w:val="4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C60088F"/>
    <w:multiLevelType w:val="multilevel"/>
    <w:tmpl w:val="108A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8E2C0D"/>
    <w:multiLevelType w:val="multilevel"/>
    <w:tmpl w:val="8688B326"/>
    <w:numStyleLink w:val="ListNoNumILO"/>
  </w:abstractNum>
  <w:abstractNum w:abstractNumId="17" w15:restartNumberingAfterBreak="0">
    <w:nsid w:val="62C27D86"/>
    <w:multiLevelType w:val="multilevel"/>
    <w:tmpl w:val="8D3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785929"/>
    <w:multiLevelType w:val="hybridMultilevel"/>
    <w:tmpl w:val="B61832B6"/>
    <w:lvl w:ilvl="0" w:tplc="864A3062">
      <w:start w:val="1"/>
      <w:numFmt w:val="bullet"/>
      <w:lvlText w:val="u"/>
      <w:lvlJc w:val="left"/>
      <w:pPr>
        <w:ind w:left="360" w:hanging="360"/>
      </w:pPr>
      <w:rPr>
        <w:rFonts w:ascii="Wingdings 3" w:hAnsi="Wingdings 3" w:hint="default"/>
        <w:color w:val="FFCD2D" w:themeColor="accent3"/>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75A21F1"/>
    <w:multiLevelType w:val="hybridMultilevel"/>
    <w:tmpl w:val="5DD4E332"/>
    <w:lvl w:ilvl="0" w:tplc="8436A924">
      <w:start w:val="1"/>
      <w:numFmt w:val="bullet"/>
      <w:pStyle w:val="TableBoxTitle"/>
      <w:lvlText w:val=""/>
      <w:lvlJc w:val="left"/>
      <w:pPr>
        <w:ind w:left="36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E71256E"/>
    <w:multiLevelType w:val="hybridMultilevel"/>
    <w:tmpl w:val="72769E8E"/>
    <w:lvl w:ilvl="0" w:tplc="188C22D2">
      <w:start w:val="1"/>
      <w:numFmt w:val="bullet"/>
      <w:lvlText w:val="u"/>
      <w:lvlJc w:val="left"/>
      <w:pPr>
        <w:ind w:left="360" w:hanging="360"/>
      </w:pPr>
      <w:rPr>
        <w:rFonts w:ascii="Wingdings 3" w:hAnsi="Wingdings 3" w:hint="default"/>
        <w:sz w:val="18"/>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73AC5D28"/>
    <w:multiLevelType w:val="hybridMultilevel"/>
    <w:tmpl w:val="715AEF88"/>
    <w:lvl w:ilvl="0" w:tplc="9C1ED4E4">
      <w:start w:val="1"/>
      <w:numFmt w:val="bullet"/>
      <w:lvlText w:val=""/>
      <w:lvlJc w:val="left"/>
      <w:pPr>
        <w:ind w:left="644"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7997007"/>
    <w:multiLevelType w:val="multilevel"/>
    <w:tmpl w:val="05E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6A39C0"/>
    <w:multiLevelType w:val="hybridMultilevel"/>
    <w:tmpl w:val="B1F242EC"/>
    <w:lvl w:ilvl="0" w:tplc="A9244074">
      <w:start w:val="1"/>
      <w:numFmt w:val="bullet"/>
      <w:lvlText w:val=""/>
      <w:lvlJc w:val="left"/>
      <w:pPr>
        <w:ind w:left="72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CBA35AC"/>
    <w:multiLevelType w:val="hybridMultilevel"/>
    <w:tmpl w:val="C89231DA"/>
    <w:lvl w:ilvl="0" w:tplc="864A3062">
      <w:start w:val="1"/>
      <w:numFmt w:val="bullet"/>
      <w:lvlText w:val="u"/>
      <w:lvlJc w:val="left"/>
      <w:pPr>
        <w:ind w:left="360" w:hanging="360"/>
      </w:pPr>
      <w:rPr>
        <w:rFonts w:ascii="Wingdings 3" w:hAnsi="Wingdings 3" w:hint="default"/>
        <w:color w:val="FFCD2D" w:themeColor="accent3"/>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cs="Wingdings" w:hint="default"/>
      </w:rPr>
    </w:lvl>
    <w:lvl w:ilvl="3" w:tplc="FFFFFFFF" w:tentative="1">
      <w:start w:val="1"/>
      <w:numFmt w:val="bullet"/>
      <w:lvlText w:val=""/>
      <w:lvlJc w:val="left"/>
      <w:pPr>
        <w:ind w:left="2520" w:hanging="360"/>
      </w:pPr>
      <w:rPr>
        <w:rFonts w:ascii="Symbol" w:hAnsi="Symbol" w:cs="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cs="Wingdings" w:hint="default"/>
      </w:rPr>
    </w:lvl>
    <w:lvl w:ilvl="6" w:tplc="FFFFFFFF" w:tentative="1">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25" w15:restartNumberingAfterBreak="0">
    <w:nsid w:val="7CF3408C"/>
    <w:multiLevelType w:val="hybridMultilevel"/>
    <w:tmpl w:val="B234F104"/>
    <w:lvl w:ilvl="0" w:tplc="864A3062">
      <w:start w:val="1"/>
      <w:numFmt w:val="bullet"/>
      <w:lvlText w:val="u"/>
      <w:lvlJc w:val="left"/>
      <w:pPr>
        <w:ind w:left="-992" w:hanging="360"/>
      </w:pPr>
      <w:rPr>
        <w:rFonts w:ascii="Wingdings 3" w:hAnsi="Wingdings 3" w:hint="default"/>
        <w:color w:val="FFCD2D" w:themeColor="accent3"/>
        <w:sz w:val="18"/>
      </w:rPr>
    </w:lvl>
    <w:lvl w:ilvl="1" w:tplc="FFFFFFFF" w:tentative="1">
      <w:start w:val="1"/>
      <w:numFmt w:val="bullet"/>
      <w:lvlText w:val="o"/>
      <w:lvlJc w:val="left"/>
      <w:pPr>
        <w:ind w:left="-272" w:hanging="360"/>
      </w:pPr>
      <w:rPr>
        <w:rFonts w:ascii="Courier New" w:hAnsi="Courier New" w:cs="Courier New" w:hint="default"/>
      </w:rPr>
    </w:lvl>
    <w:lvl w:ilvl="2" w:tplc="FFFFFFFF" w:tentative="1">
      <w:start w:val="1"/>
      <w:numFmt w:val="bullet"/>
      <w:lvlText w:val=""/>
      <w:lvlJc w:val="left"/>
      <w:pPr>
        <w:ind w:left="448" w:hanging="360"/>
      </w:pPr>
      <w:rPr>
        <w:rFonts w:ascii="Wingdings" w:hAnsi="Wingdings" w:cs="Wingdings" w:hint="default"/>
      </w:rPr>
    </w:lvl>
    <w:lvl w:ilvl="3" w:tplc="FFFFFFFF" w:tentative="1">
      <w:start w:val="1"/>
      <w:numFmt w:val="bullet"/>
      <w:lvlText w:val=""/>
      <w:lvlJc w:val="left"/>
      <w:pPr>
        <w:ind w:left="1168" w:hanging="360"/>
      </w:pPr>
      <w:rPr>
        <w:rFonts w:ascii="Symbol" w:hAnsi="Symbol" w:cs="Symbol" w:hint="default"/>
      </w:rPr>
    </w:lvl>
    <w:lvl w:ilvl="4" w:tplc="FFFFFFFF" w:tentative="1">
      <w:start w:val="1"/>
      <w:numFmt w:val="bullet"/>
      <w:lvlText w:val="o"/>
      <w:lvlJc w:val="left"/>
      <w:pPr>
        <w:ind w:left="1888" w:hanging="360"/>
      </w:pPr>
      <w:rPr>
        <w:rFonts w:ascii="Courier New" w:hAnsi="Courier New" w:cs="Courier New" w:hint="default"/>
      </w:rPr>
    </w:lvl>
    <w:lvl w:ilvl="5" w:tplc="FFFFFFFF" w:tentative="1">
      <w:start w:val="1"/>
      <w:numFmt w:val="bullet"/>
      <w:lvlText w:val=""/>
      <w:lvlJc w:val="left"/>
      <w:pPr>
        <w:ind w:left="2608" w:hanging="360"/>
      </w:pPr>
      <w:rPr>
        <w:rFonts w:ascii="Wingdings" w:hAnsi="Wingdings" w:cs="Wingdings" w:hint="default"/>
      </w:rPr>
    </w:lvl>
    <w:lvl w:ilvl="6" w:tplc="FFFFFFFF" w:tentative="1">
      <w:start w:val="1"/>
      <w:numFmt w:val="bullet"/>
      <w:lvlText w:val=""/>
      <w:lvlJc w:val="left"/>
      <w:pPr>
        <w:ind w:left="3328" w:hanging="360"/>
      </w:pPr>
      <w:rPr>
        <w:rFonts w:ascii="Symbol" w:hAnsi="Symbol" w:cs="Symbol" w:hint="default"/>
      </w:rPr>
    </w:lvl>
    <w:lvl w:ilvl="7" w:tplc="FFFFFFFF" w:tentative="1">
      <w:start w:val="1"/>
      <w:numFmt w:val="bullet"/>
      <w:lvlText w:val="o"/>
      <w:lvlJc w:val="left"/>
      <w:pPr>
        <w:ind w:left="4048" w:hanging="360"/>
      </w:pPr>
      <w:rPr>
        <w:rFonts w:ascii="Courier New" w:hAnsi="Courier New" w:cs="Courier New" w:hint="default"/>
      </w:rPr>
    </w:lvl>
    <w:lvl w:ilvl="8" w:tplc="FFFFFFFF" w:tentative="1">
      <w:start w:val="1"/>
      <w:numFmt w:val="bullet"/>
      <w:lvlText w:val=""/>
      <w:lvlJc w:val="left"/>
      <w:pPr>
        <w:ind w:left="4768" w:hanging="360"/>
      </w:pPr>
      <w:rPr>
        <w:rFonts w:ascii="Wingdings" w:hAnsi="Wingdings" w:cs="Wingdings" w:hint="default"/>
      </w:rPr>
    </w:lvl>
  </w:abstractNum>
  <w:abstractNum w:abstractNumId="26" w15:restartNumberingAfterBreak="0">
    <w:nsid w:val="7E5A23E7"/>
    <w:multiLevelType w:val="hybridMultilevel"/>
    <w:tmpl w:val="26D08756"/>
    <w:lvl w:ilvl="0" w:tplc="B746B186">
      <w:start w:val="1"/>
      <w:numFmt w:val="bullet"/>
      <w:lvlText w:val=""/>
      <w:lvlJc w:val="left"/>
      <w:pPr>
        <w:ind w:left="720" w:hanging="360"/>
      </w:pPr>
      <w:rPr>
        <w:rFonts w:ascii="Wingdings 3" w:hAnsi="Wingdings 3" w:cs="Symbol" w:hint="default"/>
        <w:color w:val="1E2DB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21"/>
  </w:num>
  <w:num w:numId="4">
    <w:abstractNumId w:val="11"/>
  </w:num>
  <w:num w:numId="5">
    <w:abstractNumId w:val="9"/>
  </w:num>
  <w:num w:numId="6">
    <w:abstractNumId w:val="10"/>
  </w:num>
  <w:num w:numId="7">
    <w:abstractNumId w:val="2"/>
  </w:num>
  <w:num w:numId="8">
    <w:abstractNumId w:val="23"/>
  </w:num>
  <w:num w:numId="9">
    <w:abstractNumId w:val="0"/>
  </w:num>
  <w:num w:numId="10">
    <w:abstractNumId w:val="19"/>
  </w:num>
  <w:num w:numId="11">
    <w:abstractNumId w:val="26"/>
  </w:num>
  <w:num w:numId="12">
    <w:abstractNumId w:val="12"/>
  </w:num>
  <w:num w:numId="13">
    <w:abstractNumId w:val="16"/>
  </w:num>
  <w:num w:numId="14">
    <w:abstractNumId w:val="14"/>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
  </w:num>
  <w:num w:numId="19">
    <w:abstractNumId w:val="15"/>
  </w:num>
  <w:num w:numId="20">
    <w:abstractNumId w:val="7"/>
  </w:num>
  <w:num w:numId="21">
    <w:abstractNumId w:val="13"/>
  </w:num>
  <w:num w:numId="22">
    <w:abstractNumId w:val="22"/>
  </w:num>
  <w:num w:numId="23">
    <w:abstractNumId w:val="1"/>
  </w:num>
  <w:num w:numId="24">
    <w:abstractNumId w:val="20"/>
  </w:num>
  <w:num w:numId="25">
    <w:abstractNumId w:val="6"/>
  </w:num>
  <w:num w:numId="26">
    <w:abstractNumId w:val="18"/>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9"/>
  <w:hyphenationZone w:val="425"/>
  <w:clickAndTypeStyle w:val="NormalBody"/>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92"/>
    <w:rsid w:val="00001168"/>
    <w:rsid w:val="00002E24"/>
    <w:rsid w:val="00004D09"/>
    <w:rsid w:val="00006CF6"/>
    <w:rsid w:val="00014F73"/>
    <w:rsid w:val="000214FD"/>
    <w:rsid w:val="00030220"/>
    <w:rsid w:val="0003715D"/>
    <w:rsid w:val="00040505"/>
    <w:rsid w:val="00042CD4"/>
    <w:rsid w:val="000532D2"/>
    <w:rsid w:val="00055CB2"/>
    <w:rsid w:val="00057445"/>
    <w:rsid w:val="000574CB"/>
    <w:rsid w:val="00060D7E"/>
    <w:rsid w:val="000617CD"/>
    <w:rsid w:val="00066834"/>
    <w:rsid w:val="00072B1D"/>
    <w:rsid w:val="000802F9"/>
    <w:rsid w:val="00085247"/>
    <w:rsid w:val="00085B6D"/>
    <w:rsid w:val="00086F99"/>
    <w:rsid w:val="00093506"/>
    <w:rsid w:val="000A44C2"/>
    <w:rsid w:val="000B3F8D"/>
    <w:rsid w:val="000B4A97"/>
    <w:rsid w:val="000C4E01"/>
    <w:rsid w:val="000C6191"/>
    <w:rsid w:val="000D0329"/>
    <w:rsid w:val="000D2544"/>
    <w:rsid w:val="000D6EDB"/>
    <w:rsid w:val="000D7662"/>
    <w:rsid w:val="000E5360"/>
    <w:rsid w:val="000F6F99"/>
    <w:rsid w:val="001114B1"/>
    <w:rsid w:val="00111560"/>
    <w:rsid w:val="00112320"/>
    <w:rsid w:val="00112384"/>
    <w:rsid w:val="00113BDC"/>
    <w:rsid w:val="00124CC1"/>
    <w:rsid w:val="00126A6F"/>
    <w:rsid w:val="00133863"/>
    <w:rsid w:val="00133BF9"/>
    <w:rsid w:val="0013599B"/>
    <w:rsid w:val="00137366"/>
    <w:rsid w:val="0014008D"/>
    <w:rsid w:val="00141C9B"/>
    <w:rsid w:val="00143156"/>
    <w:rsid w:val="001467C1"/>
    <w:rsid w:val="001503F2"/>
    <w:rsid w:val="00150A54"/>
    <w:rsid w:val="0015281B"/>
    <w:rsid w:val="001535A3"/>
    <w:rsid w:val="001612D7"/>
    <w:rsid w:val="00191FF9"/>
    <w:rsid w:val="001A3829"/>
    <w:rsid w:val="001B7ED8"/>
    <w:rsid w:val="001C71B0"/>
    <w:rsid w:val="001D5CB0"/>
    <w:rsid w:val="001D5FCA"/>
    <w:rsid w:val="001F36E5"/>
    <w:rsid w:val="001F646F"/>
    <w:rsid w:val="001F6A32"/>
    <w:rsid w:val="0020056C"/>
    <w:rsid w:val="00200827"/>
    <w:rsid w:val="00200BC5"/>
    <w:rsid w:val="002063DA"/>
    <w:rsid w:val="002105BA"/>
    <w:rsid w:val="00213105"/>
    <w:rsid w:val="00220076"/>
    <w:rsid w:val="00221EF8"/>
    <w:rsid w:val="00226E15"/>
    <w:rsid w:val="00232D8B"/>
    <w:rsid w:val="00257224"/>
    <w:rsid w:val="0025726C"/>
    <w:rsid w:val="00262C4D"/>
    <w:rsid w:val="00263F35"/>
    <w:rsid w:val="002664F3"/>
    <w:rsid w:val="00273FEE"/>
    <w:rsid w:val="0027406A"/>
    <w:rsid w:val="00280B29"/>
    <w:rsid w:val="002964BC"/>
    <w:rsid w:val="002A0147"/>
    <w:rsid w:val="002A11FC"/>
    <w:rsid w:val="002A7D6C"/>
    <w:rsid w:val="002B1009"/>
    <w:rsid w:val="002B1E3D"/>
    <w:rsid w:val="002C1DFB"/>
    <w:rsid w:val="002C28DB"/>
    <w:rsid w:val="002C35F6"/>
    <w:rsid w:val="002C4964"/>
    <w:rsid w:val="002C6517"/>
    <w:rsid w:val="002D70F5"/>
    <w:rsid w:val="002D7F37"/>
    <w:rsid w:val="002E0173"/>
    <w:rsid w:val="002E4630"/>
    <w:rsid w:val="002E66F4"/>
    <w:rsid w:val="002F0BE1"/>
    <w:rsid w:val="002F3A34"/>
    <w:rsid w:val="003173B2"/>
    <w:rsid w:val="0032002B"/>
    <w:rsid w:val="00324EBE"/>
    <w:rsid w:val="00325170"/>
    <w:rsid w:val="0033325D"/>
    <w:rsid w:val="00333318"/>
    <w:rsid w:val="0033665A"/>
    <w:rsid w:val="00343E28"/>
    <w:rsid w:val="0034519C"/>
    <w:rsid w:val="00347261"/>
    <w:rsid w:val="0035131E"/>
    <w:rsid w:val="00356224"/>
    <w:rsid w:val="00361714"/>
    <w:rsid w:val="003639DC"/>
    <w:rsid w:val="003747D0"/>
    <w:rsid w:val="00374851"/>
    <w:rsid w:val="003766A8"/>
    <w:rsid w:val="00376F47"/>
    <w:rsid w:val="00377B86"/>
    <w:rsid w:val="00381672"/>
    <w:rsid w:val="003816CC"/>
    <w:rsid w:val="00383ED8"/>
    <w:rsid w:val="003865D7"/>
    <w:rsid w:val="00395613"/>
    <w:rsid w:val="003A01EA"/>
    <w:rsid w:val="003A46A4"/>
    <w:rsid w:val="003A610E"/>
    <w:rsid w:val="003B5750"/>
    <w:rsid w:val="003B7E83"/>
    <w:rsid w:val="003E15DB"/>
    <w:rsid w:val="003E41B9"/>
    <w:rsid w:val="003E4C73"/>
    <w:rsid w:val="003E5B0F"/>
    <w:rsid w:val="003E6347"/>
    <w:rsid w:val="003F1553"/>
    <w:rsid w:val="003F262D"/>
    <w:rsid w:val="00400148"/>
    <w:rsid w:val="004008F5"/>
    <w:rsid w:val="00402A42"/>
    <w:rsid w:val="00406AEA"/>
    <w:rsid w:val="00412856"/>
    <w:rsid w:val="004134BB"/>
    <w:rsid w:val="00416DB3"/>
    <w:rsid w:val="004276DB"/>
    <w:rsid w:val="0043721F"/>
    <w:rsid w:val="004455C6"/>
    <w:rsid w:val="004513E5"/>
    <w:rsid w:val="00453E9B"/>
    <w:rsid w:val="00460FE9"/>
    <w:rsid w:val="0046708A"/>
    <w:rsid w:val="00471578"/>
    <w:rsid w:val="00471E6F"/>
    <w:rsid w:val="00474C14"/>
    <w:rsid w:val="00475D29"/>
    <w:rsid w:val="00487FFA"/>
    <w:rsid w:val="00491BB2"/>
    <w:rsid w:val="004978F5"/>
    <w:rsid w:val="004A46BC"/>
    <w:rsid w:val="004B36AF"/>
    <w:rsid w:val="004B62AF"/>
    <w:rsid w:val="004B6A13"/>
    <w:rsid w:val="004C033B"/>
    <w:rsid w:val="004C1D28"/>
    <w:rsid w:val="004C2061"/>
    <w:rsid w:val="004D344C"/>
    <w:rsid w:val="004E05BF"/>
    <w:rsid w:val="004E2BE0"/>
    <w:rsid w:val="004E399D"/>
    <w:rsid w:val="004E5D30"/>
    <w:rsid w:val="00503D89"/>
    <w:rsid w:val="005050D6"/>
    <w:rsid w:val="005136B9"/>
    <w:rsid w:val="00514370"/>
    <w:rsid w:val="0051442A"/>
    <w:rsid w:val="00515BC3"/>
    <w:rsid w:val="00525BA8"/>
    <w:rsid w:val="00525DAB"/>
    <w:rsid w:val="00531EE4"/>
    <w:rsid w:val="00537244"/>
    <w:rsid w:val="005431CD"/>
    <w:rsid w:val="005506D6"/>
    <w:rsid w:val="005556BD"/>
    <w:rsid w:val="00561217"/>
    <w:rsid w:val="00563D80"/>
    <w:rsid w:val="00573892"/>
    <w:rsid w:val="00576CCB"/>
    <w:rsid w:val="005776EE"/>
    <w:rsid w:val="005833D5"/>
    <w:rsid w:val="00586D8D"/>
    <w:rsid w:val="005B045F"/>
    <w:rsid w:val="005B066C"/>
    <w:rsid w:val="005B0D4A"/>
    <w:rsid w:val="005B2C89"/>
    <w:rsid w:val="005C2529"/>
    <w:rsid w:val="005C44CC"/>
    <w:rsid w:val="005C4B5C"/>
    <w:rsid w:val="005D1665"/>
    <w:rsid w:val="005D64CA"/>
    <w:rsid w:val="005E2197"/>
    <w:rsid w:val="005E732D"/>
    <w:rsid w:val="005F271E"/>
    <w:rsid w:val="005F40C1"/>
    <w:rsid w:val="005F6F50"/>
    <w:rsid w:val="005F7F4A"/>
    <w:rsid w:val="00601E8F"/>
    <w:rsid w:val="00603DE8"/>
    <w:rsid w:val="00613B2D"/>
    <w:rsid w:val="00613D92"/>
    <w:rsid w:val="00617030"/>
    <w:rsid w:val="00624B45"/>
    <w:rsid w:val="0062541A"/>
    <w:rsid w:val="00626BB6"/>
    <w:rsid w:val="0063385B"/>
    <w:rsid w:val="0063433F"/>
    <w:rsid w:val="006416A2"/>
    <w:rsid w:val="00650560"/>
    <w:rsid w:val="0065241A"/>
    <w:rsid w:val="0066478A"/>
    <w:rsid w:val="006776A7"/>
    <w:rsid w:val="006818AD"/>
    <w:rsid w:val="00683D2C"/>
    <w:rsid w:val="00692892"/>
    <w:rsid w:val="00692D2A"/>
    <w:rsid w:val="006951B1"/>
    <w:rsid w:val="0069552E"/>
    <w:rsid w:val="006A3DB4"/>
    <w:rsid w:val="006C1A71"/>
    <w:rsid w:val="006C1BA5"/>
    <w:rsid w:val="006C3EB1"/>
    <w:rsid w:val="006C6811"/>
    <w:rsid w:val="006D36B4"/>
    <w:rsid w:val="006D3BAD"/>
    <w:rsid w:val="006D7518"/>
    <w:rsid w:val="006E3182"/>
    <w:rsid w:val="006F1B06"/>
    <w:rsid w:val="007041E1"/>
    <w:rsid w:val="00706284"/>
    <w:rsid w:val="00716D66"/>
    <w:rsid w:val="00721B60"/>
    <w:rsid w:val="00722CE8"/>
    <w:rsid w:val="0073057A"/>
    <w:rsid w:val="00742509"/>
    <w:rsid w:val="007432C8"/>
    <w:rsid w:val="00754FB6"/>
    <w:rsid w:val="00755D9F"/>
    <w:rsid w:val="00760B9C"/>
    <w:rsid w:val="0076509B"/>
    <w:rsid w:val="007718D6"/>
    <w:rsid w:val="007718F2"/>
    <w:rsid w:val="0077460F"/>
    <w:rsid w:val="00777098"/>
    <w:rsid w:val="00795927"/>
    <w:rsid w:val="007A00D7"/>
    <w:rsid w:val="007A1AF6"/>
    <w:rsid w:val="007A4234"/>
    <w:rsid w:val="007B2A45"/>
    <w:rsid w:val="007B756B"/>
    <w:rsid w:val="007C1AB0"/>
    <w:rsid w:val="007C2742"/>
    <w:rsid w:val="007C7358"/>
    <w:rsid w:val="007D1776"/>
    <w:rsid w:val="007D1ABA"/>
    <w:rsid w:val="007D66B0"/>
    <w:rsid w:val="007D7BAD"/>
    <w:rsid w:val="007E23CC"/>
    <w:rsid w:val="007E688A"/>
    <w:rsid w:val="007E75C5"/>
    <w:rsid w:val="007F262C"/>
    <w:rsid w:val="00800259"/>
    <w:rsid w:val="00805F6D"/>
    <w:rsid w:val="00811ADA"/>
    <w:rsid w:val="00823466"/>
    <w:rsid w:val="00830C02"/>
    <w:rsid w:val="008313F8"/>
    <w:rsid w:val="0083231E"/>
    <w:rsid w:val="00832D81"/>
    <w:rsid w:val="00840AED"/>
    <w:rsid w:val="00863FF9"/>
    <w:rsid w:val="00864ECF"/>
    <w:rsid w:val="00880CA7"/>
    <w:rsid w:val="00883507"/>
    <w:rsid w:val="00890816"/>
    <w:rsid w:val="00890C7F"/>
    <w:rsid w:val="00890DB1"/>
    <w:rsid w:val="00892BF4"/>
    <w:rsid w:val="00894086"/>
    <w:rsid w:val="008948F9"/>
    <w:rsid w:val="008968AC"/>
    <w:rsid w:val="008A19A3"/>
    <w:rsid w:val="008A1AFF"/>
    <w:rsid w:val="008A5161"/>
    <w:rsid w:val="008A6740"/>
    <w:rsid w:val="008B2785"/>
    <w:rsid w:val="008B4074"/>
    <w:rsid w:val="008B721B"/>
    <w:rsid w:val="008B7D3B"/>
    <w:rsid w:val="008C1669"/>
    <w:rsid w:val="008C334A"/>
    <w:rsid w:val="008C4247"/>
    <w:rsid w:val="008C4B09"/>
    <w:rsid w:val="008C76E7"/>
    <w:rsid w:val="008D59F1"/>
    <w:rsid w:val="008D63EA"/>
    <w:rsid w:val="008E29AE"/>
    <w:rsid w:val="008E4E54"/>
    <w:rsid w:val="008E5F11"/>
    <w:rsid w:val="008F7839"/>
    <w:rsid w:val="0090398D"/>
    <w:rsid w:val="009121DD"/>
    <w:rsid w:val="009138D9"/>
    <w:rsid w:val="009140A9"/>
    <w:rsid w:val="009215C9"/>
    <w:rsid w:val="0092736E"/>
    <w:rsid w:val="00927863"/>
    <w:rsid w:val="009318D6"/>
    <w:rsid w:val="00935AE8"/>
    <w:rsid w:val="00936833"/>
    <w:rsid w:val="00936FF5"/>
    <w:rsid w:val="00942AD7"/>
    <w:rsid w:val="00950608"/>
    <w:rsid w:val="00970F1A"/>
    <w:rsid w:val="0097130F"/>
    <w:rsid w:val="009717DA"/>
    <w:rsid w:val="00976ECC"/>
    <w:rsid w:val="00977753"/>
    <w:rsid w:val="00981D2B"/>
    <w:rsid w:val="009918A3"/>
    <w:rsid w:val="00991D4D"/>
    <w:rsid w:val="00992EB6"/>
    <w:rsid w:val="00996286"/>
    <w:rsid w:val="009972D9"/>
    <w:rsid w:val="009A0456"/>
    <w:rsid w:val="009A7098"/>
    <w:rsid w:val="009B0D3F"/>
    <w:rsid w:val="009B251D"/>
    <w:rsid w:val="009C2707"/>
    <w:rsid w:val="009C35BB"/>
    <w:rsid w:val="009C7946"/>
    <w:rsid w:val="009D6786"/>
    <w:rsid w:val="009E24B3"/>
    <w:rsid w:val="009E44AA"/>
    <w:rsid w:val="009E6BA7"/>
    <w:rsid w:val="009F0B37"/>
    <w:rsid w:val="009F0D45"/>
    <w:rsid w:val="009F57CD"/>
    <w:rsid w:val="009F5D54"/>
    <w:rsid w:val="00A02411"/>
    <w:rsid w:val="00A120A3"/>
    <w:rsid w:val="00A13664"/>
    <w:rsid w:val="00A15FD5"/>
    <w:rsid w:val="00A21DBB"/>
    <w:rsid w:val="00A2748B"/>
    <w:rsid w:val="00A3456C"/>
    <w:rsid w:val="00A3620D"/>
    <w:rsid w:val="00A370B4"/>
    <w:rsid w:val="00A37842"/>
    <w:rsid w:val="00A4182A"/>
    <w:rsid w:val="00A41B75"/>
    <w:rsid w:val="00A453ED"/>
    <w:rsid w:val="00A516EF"/>
    <w:rsid w:val="00A545AB"/>
    <w:rsid w:val="00A6193E"/>
    <w:rsid w:val="00A64864"/>
    <w:rsid w:val="00A67664"/>
    <w:rsid w:val="00A7100F"/>
    <w:rsid w:val="00A73951"/>
    <w:rsid w:val="00A764BF"/>
    <w:rsid w:val="00A837E8"/>
    <w:rsid w:val="00A84D99"/>
    <w:rsid w:val="00A909AF"/>
    <w:rsid w:val="00AA3AA3"/>
    <w:rsid w:val="00AA3ACA"/>
    <w:rsid w:val="00AC7432"/>
    <w:rsid w:val="00AE3063"/>
    <w:rsid w:val="00AE3A50"/>
    <w:rsid w:val="00AF02D9"/>
    <w:rsid w:val="00AF2B51"/>
    <w:rsid w:val="00AF439C"/>
    <w:rsid w:val="00B05A9B"/>
    <w:rsid w:val="00B069C6"/>
    <w:rsid w:val="00B224B2"/>
    <w:rsid w:val="00B242A1"/>
    <w:rsid w:val="00B3148A"/>
    <w:rsid w:val="00B31EC9"/>
    <w:rsid w:val="00B33FBA"/>
    <w:rsid w:val="00B3530F"/>
    <w:rsid w:val="00B436DC"/>
    <w:rsid w:val="00B46A3D"/>
    <w:rsid w:val="00B52638"/>
    <w:rsid w:val="00B542D9"/>
    <w:rsid w:val="00B57D55"/>
    <w:rsid w:val="00B6517C"/>
    <w:rsid w:val="00B6657B"/>
    <w:rsid w:val="00B73B40"/>
    <w:rsid w:val="00B77AB8"/>
    <w:rsid w:val="00B838DB"/>
    <w:rsid w:val="00B83E71"/>
    <w:rsid w:val="00B845B0"/>
    <w:rsid w:val="00B90FC5"/>
    <w:rsid w:val="00B97C07"/>
    <w:rsid w:val="00B97CD1"/>
    <w:rsid w:val="00BA4E1F"/>
    <w:rsid w:val="00BA6F31"/>
    <w:rsid w:val="00BC21D9"/>
    <w:rsid w:val="00BC55CA"/>
    <w:rsid w:val="00BC6105"/>
    <w:rsid w:val="00BD2192"/>
    <w:rsid w:val="00BD397B"/>
    <w:rsid w:val="00BD5784"/>
    <w:rsid w:val="00BD6111"/>
    <w:rsid w:val="00BE2075"/>
    <w:rsid w:val="00BE2D6B"/>
    <w:rsid w:val="00BE4A71"/>
    <w:rsid w:val="00BE5277"/>
    <w:rsid w:val="00BF0A37"/>
    <w:rsid w:val="00C006B1"/>
    <w:rsid w:val="00C0181C"/>
    <w:rsid w:val="00C0320F"/>
    <w:rsid w:val="00C0731E"/>
    <w:rsid w:val="00C07675"/>
    <w:rsid w:val="00C13EBB"/>
    <w:rsid w:val="00C16C32"/>
    <w:rsid w:val="00C16D03"/>
    <w:rsid w:val="00C21733"/>
    <w:rsid w:val="00C30872"/>
    <w:rsid w:val="00C318BF"/>
    <w:rsid w:val="00C3757F"/>
    <w:rsid w:val="00C41DA1"/>
    <w:rsid w:val="00C5095D"/>
    <w:rsid w:val="00C5266F"/>
    <w:rsid w:val="00C53EFE"/>
    <w:rsid w:val="00C624CE"/>
    <w:rsid w:val="00C629D3"/>
    <w:rsid w:val="00C63D20"/>
    <w:rsid w:val="00C71F61"/>
    <w:rsid w:val="00C84A7F"/>
    <w:rsid w:val="00C84C0A"/>
    <w:rsid w:val="00C852E6"/>
    <w:rsid w:val="00C86D67"/>
    <w:rsid w:val="00C92D49"/>
    <w:rsid w:val="00C94A42"/>
    <w:rsid w:val="00C95BE4"/>
    <w:rsid w:val="00CA2845"/>
    <w:rsid w:val="00CB021E"/>
    <w:rsid w:val="00CB1ECF"/>
    <w:rsid w:val="00CB4368"/>
    <w:rsid w:val="00CC0A2E"/>
    <w:rsid w:val="00CC1A30"/>
    <w:rsid w:val="00CD6C2F"/>
    <w:rsid w:val="00CF31BA"/>
    <w:rsid w:val="00D01DC5"/>
    <w:rsid w:val="00D02634"/>
    <w:rsid w:val="00D0616A"/>
    <w:rsid w:val="00D10122"/>
    <w:rsid w:val="00D1107C"/>
    <w:rsid w:val="00D130F7"/>
    <w:rsid w:val="00D137DD"/>
    <w:rsid w:val="00D1730E"/>
    <w:rsid w:val="00D17926"/>
    <w:rsid w:val="00D17FFA"/>
    <w:rsid w:val="00D27F92"/>
    <w:rsid w:val="00D3217D"/>
    <w:rsid w:val="00D44B3B"/>
    <w:rsid w:val="00D53891"/>
    <w:rsid w:val="00D57DD1"/>
    <w:rsid w:val="00D60D84"/>
    <w:rsid w:val="00D66319"/>
    <w:rsid w:val="00D6675E"/>
    <w:rsid w:val="00D67B3B"/>
    <w:rsid w:val="00D67B96"/>
    <w:rsid w:val="00D71150"/>
    <w:rsid w:val="00D74792"/>
    <w:rsid w:val="00D83F6C"/>
    <w:rsid w:val="00D90079"/>
    <w:rsid w:val="00D93A9E"/>
    <w:rsid w:val="00D97236"/>
    <w:rsid w:val="00D979E8"/>
    <w:rsid w:val="00DA3271"/>
    <w:rsid w:val="00DB187B"/>
    <w:rsid w:val="00DB23AF"/>
    <w:rsid w:val="00DB4847"/>
    <w:rsid w:val="00DB4983"/>
    <w:rsid w:val="00DC4FF8"/>
    <w:rsid w:val="00DD12C9"/>
    <w:rsid w:val="00DD17A0"/>
    <w:rsid w:val="00DD2A15"/>
    <w:rsid w:val="00DE602F"/>
    <w:rsid w:val="00DE7B7A"/>
    <w:rsid w:val="00DF10FF"/>
    <w:rsid w:val="00DF35DE"/>
    <w:rsid w:val="00DF443F"/>
    <w:rsid w:val="00DF792D"/>
    <w:rsid w:val="00E04DF4"/>
    <w:rsid w:val="00E0570F"/>
    <w:rsid w:val="00E0577E"/>
    <w:rsid w:val="00E16F0B"/>
    <w:rsid w:val="00E20330"/>
    <w:rsid w:val="00E23BE0"/>
    <w:rsid w:val="00E31F44"/>
    <w:rsid w:val="00E444BB"/>
    <w:rsid w:val="00E45D5C"/>
    <w:rsid w:val="00E50855"/>
    <w:rsid w:val="00E51479"/>
    <w:rsid w:val="00E53ED7"/>
    <w:rsid w:val="00E543BD"/>
    <w:rsid w:val="00E600BB"/>
    <w:rsid w:val="00E64CC7"/>
    <w:rsid w:val="00E73FA7"/>
    <w:rsid w:val="00E83632"/>
    <w:rsid w:val="00EC3933"/>
    <w:rsid w:val="00EC5593"/>
    <w:rsid w:val="00EC5697"/>
    <w:rsid w:val="00EC65C2"/>
    <w:rsid w:val="00ED458D"/>
    <w:rsid w:val="00ED65FD"/>
    <w:rsid w:val="00EE3CD0"/>
    <w:rsid w:val="00EE5E6B"/>
    <w:rsid w:val="00EF44E5"/>
    <w:rsid w:val="00EF63D1"/>
    <w:rsid w:val="00F16662"/>
    <w:rsid w:val="00F17C80"/>
    <w:rsid w:val="00F20195"/>
    <w:rsid w:val="00F22DDE"/>
    <w:rsid w:val="00F24EFF"/>
    <w:rsid w:val="00F266B3"/>
    <w:rsid w:val="00F26959"/>
    <w:rsid w:val="00F31AC7"/>
    <w:rsid w:val="00F32378"/>
    <w:rsid w:val="00F32CC9"/>
    <w:rsid w:val="00F37E09"/>
    <w:rsid w:val="00F626D2"/>
    <w:rsid w:val="00F64772"/>
    <w:rsid w:val="00F67157"/>
    <w:rsid w:val="00F72681"/>
    <w:rsid w:val="00F75A77"/>
    <w:rsid w:val="00F77DF8"/>
    <w:rsid w:val="00F90011"/>
    <w:rsid w:val="00F90E95"/>
    <w:rsid w:val="00F9391D"/>
    <w:rsid w:val="00F94A69"/>
    <w:rsid w:val="00F97C02"/>
    <w:rsid w:val="00FA192F"/>
    <w:rsid w:val="00FA3111"/>
    <w:rsid w:val="00FA3458"/>
    <w:rsid w:val="00FA60AA"/>
    <w:rsid w:val="00FA63F0"/>
    <w:rsid w:val="00FA751F"/>
    <w:rsid w:val="00FC3041"/>
    <w:rsid w:val="00FC72EA"/>
    <w:rsid w:val="00FD5B2F"/>
    <w:rsid w:val="00FE009C"/>
    <w:rsid w:val="00FE0157"/>
    <w:rsid w:val="00FF01D5"/>
    <w:rsid w:val="00FF3F39"/>
    <w:rsid w:val="00FF5261"/>
    <w:rsid w:val="00FF7AE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E07240"/>
  <w15:chartTrackingRefBased/>
  <w15:docId w15:val="{6370C1E8-F448-474C-AABC-8BAE9D61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CH" w:eastAsia="fr-FR"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1" w:qFormat="1"/>
    <w:lsdException w:name="Emphasis" w:semiHidden="1"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1" w:qFormat="1"/>
    <w:lsdException w:name="Intense Quote" w:semiHidden="1"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1" w:qFormat="1"/>
    <w:lsdException w:name="Intense Emphasis" w:semiHidden="1" w:uiPriority="3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30"/>
    <w:semiHidden/>
    <w:qFormat/>
    <w:rsid w:val="003816CC"/>
    <w:pPr>
      <w:spacing w:before="120" w:after="120" w:line="264" w:lineRule="auto"/>
    </w:pPr>
    <w:rPr>
      <w:rFonts w:ascii="Noto Sans" w:hAnsi="Noto Sans" w:cs="Noto Sans"/>
      <w:sz w:val="18"/>
      <w:szCs w:val="18"/>
      <w:lang w:val="en-GB" w:eastAsia="en-US"/>
    </w:rPr>
  </w:style>
  <w:style w:type="paragraph" w:styleId="Nagwek3">
    <w:name w:val="heading 3"/>
    <w:basedOn w:val="Normalny"/>
    <w:link w:val="Nagwek3Znak"/>
    <w:uiPriority w:val="9"/>
    <w:qFormat/>
    <w:rsid w:val="002A11FC"/>
    <w:pPr>
      <w:spacing w:before="100" w:beforeAutospacing="1" w:after="100" w:afterAutospacing="1" w:line="240" w:lineRule="auto"/>
      <w:outlineLvl w:val="2"/>
    </w:pPr>
    <w:rPr>
      <w:rFonts w:ascii="Times New Roman" w:eastAsia="Times New Roman" w:hAnsi="Times New Roman" w:cs="Times New Roman"/>
      <w:b/>
      <w:bCs/>
      <w:sz w:val="27"/>
      <w:szCs w:val="27"/>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istBullet1">
    <w:name w:val="ListBullet1"/>
    <w:basedOn w:val="NormalBody"/>
    <w:uiPriority w:val="11"/>
    <w:qFormat/>
    <w:rsid w:val="002C28DB"/>
    <w:pPr>
      <w:numPr>
        <w:numId w:val="12"/>
      </w:numPr>
      <w:tabs>
        <w:tab w:val="num" w:pos="360"/>
      </w:tabs>
      <w:spacing w:before="0" w:after="0"/>
      <w:ind w:left="0" w:firstLine="0"/>
    </w:pPr>
  </w:style>
  <w:style w:type="paragraph" w:customStyle="1" w:styleId="ListBullet2">
    <w:name w:val="ListBullet2"/>
    <w:basedOn w:val="NormalBody"/>
    <w:uiPriority w:val="11"/>
    <w:qFormat/>
    <w:rsid w:val="002C28DB"/>
    <w:pPr>
      <w:numPr>
        <w:ilvl w:val="1"/>
        <w:numId w:val="12"/>
      </w:numPr>
      <w:tabs>
        <w:tab w:val="num" w:pos="360"/>
      </w:tabs>
      <w:spacing w:before="0" w:after="0"/>
      <w:ind w:left="0" w:firstLine="0"/>
    </w:pPr>
  </w:style>
  <w:style w:type="paragraph" w:styleId="Nagwek">
    <w:name w:val="header"/>
    <w:basedOn w:val="NormalBody"/>
    <w:link w:val="NagwekZnak"/>
    <w:uiPriority w:val="26"/>
    <w:unhideWhenUsed/>
    <w:rsid w:val="004E2BE0"/>
    <w:pPr>
      <w:tabs>
        <w:tab w:val="left" w:pos="227"/>
        <w:tab w:val="right" w:pos="10204"/>
      </w:tabs>
      <w:spacing w:before="0" w:after="0"/>
    </w:pPr>
    <w:rPr>
      <w:rFonts w:cs="Noto Sans SemBd"/>
      <w:bCs/>
      <w:color w:val="1E2DBE"/>
    </w:rPr>
  </w:style>
  <w:style w:type="character" w:customStyle="1" w:styleId="NagwekZnak">
    <w:name w:val="Nagłówek Znak"/>
    <w:link w:val="Nagwek"/>
    <w:uiPriority w:val="26"/>
    <w:rsid w:val="004E2BE0"/>
    <w:rPr>
      <w:rFonts w:ascii="Noto Sans" w:hAnsi="Noto Sans" w:cs="Noto Sans SemBd"/>
      <w:bCs/>
      <w:color w:val="1E2DBE"/>
      <w:sz w:val="18"/>
      <w:szCs w:val="18"/>
      <w:lang w:val="en-GB"/>
    </w:rPr>
  </w:style>
  <w:style w:type="paragraph" w:styleId="Stopka">
    <w:name w:val="footer"/>
    <w:basedOn w:val="NormalBody"/>
    <w:link w:val="StopkaZnak"/>
    <w:uiPriority w:val="26"/>
    <w:unhideWhenUsed/>
    <w:rsid w:val="00830C02"/>
    <w:pPr>
      <w:tabs>
        <w:tab w:val="center" w:pos="4536"/>
        <w:tab w:val="right" w:pos="9072"/>
      </w:tabs>
      <w:spacing w:before="0" w:after="0"/>
    </w:pPr>
    <w:rPr>
      <w:color w:val="1E2DBE"/>
    </w:rPr>
  </w:style>
  <w:style w:type="character" w:customStyle="1" w:styleId="StopkaZnak">
    <w:name w:val="Stopka Znak"/>
    <w:link w:val="Stopka"/>
    <w:uiPriority w:val="26"/>
    <w:rsid w:val="00263F35"/>
    <w:rPr>
      <w:rFonts w:ascii="Noto Sans" w:hAnsi="Noto Sans" w:cs="Noto Sans"/>
      <w:color w:val="1E2DBE"/>
      <w:sz w:val="18"/>
      <w:szCs w:val="18"/>
      <w:lang w:val="en-GB"/>
    </w:rPr>
  </w:style>
  <w:style w:type="paragraph" w:customStyle="1" w:styleId="NormalBody">
    <w:name w:val="NormalBody"/>
    <w:basedOn w:val="Normalny"/>
    <w:uiPriority w:val="9"/>
    <w:qFormat/>
    <w:rsid w:val="00B845B0"/>
    <w:pPr>
      <w:spacing w:line="240" w:lineRule="auto"/>
    </w:pPr>
  </w:style>
  <w:style w:type="paragraph" w:customStyle="1" w:styleId="DateMonthYear">
    <w:name w:val="Date(MonthYear)"/>
    <w:basedOn w:val="NormalBody"/>
    <w:link w:val="DateMonthYearCar"/>
    <w:uiPriority w:val="1"/>
    <w:qFormat/>
    <w:rsid w:val="004E2BE0"/>
    <w:pPr>
      <w:spacing w:after="240"/>
    </w:pPr>
    <w:rPr>
      <w:rFonts w:ascii="Overpass Light" w:hAnsi="Overpass Light"/>
      <w:color w:val="1E2DBE"/>
    </w:rPr>
  </w:style>
  <w:style w:type="character" w:styleId="Tekstzastpczy">
    <w:name w:val="Placeholder Text"/>
    <w:uiPriority w:val="99"/>
    <w:semiHidden/>
    <w:rsid w:val="004C2061"/>
    <w:rPr>
      <w:color w:val="808080"/>
    </w:rPr>
  </w:style>
  <w:style w:type="table" w:styleId="Tabela-Siatka">
    <w:name w:val="Table Grid"/>
    <w:basedOn w:val="Standardowy"/>
    <w:uiPriority w:val="39"/>
    <w:rsid w:val="00D66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vel1">
    <w:name w:val="HeadingLevel1"/>
    <w:basedOn w:val="MainTitle"/>
    <w:next w:val="NormalBody"/>
    <w:uiPriority w:val="4"/>
    <w:qFormat/>
    <w:rsid w:val="00883507"/>
    <w:pPr>
      <w:pBdr>
        <w:bottom w:val="single" w:sz="4" w:space="6" w:color="1E2DBE"/>
      </w:pBdr>
      <w:spacing w:after="360"/>
      <w:ind w:right="0"/>
    </w:pPr>
    <w:rPr>
      <w:b w:val="0"/>
      <w:bCs w:val="0"/>
      <w:sz w:val="46"/>
      <w:szCs w:val="46"/>
      <w:lang w:val="en-GB"/>
    </w:rPr>
  </w:style>
  <w:style w:type="character" w:customStyle="1" w:styleId="DateMonthYearCar">
    <w:name w:val="Date(MonthYear) Car"/>
    <w:link w:val="DateMonthYear"/>
    <w:uiPriority w:val="1"/>
    <w:rsid w:val="004E2BE0"/>
    <w:rPr>
      <w:rFonts w:ascii="Overpass Light" w:hAnsi="Overpass Light" w:cs="Noto Sans"/>
      <w:color w:val="1E2DBE"/>
      <w:sz w:val="18"/>
      <w:szCs w:val="18"/>
      <w:lang w:val="en-GB"/>
    </w:rPr>
  </w:style>
  <w:style w:type="paragraph" w:customStyle="1" w:styleId="MainTitle">
    <w:name w:val="MainTitle"/>
    <w:next w:val="NormalBody"/>
    <w:uiPriority w:val="1"/>
    <w:qFormat/>
    <w:rsid w:val="004E2BE0"/>
    <w:pPr>
      <w:keepNext/>
      <w:ind w:right="3969"/>
      <w:contextualSpacing/>
      <w:outlineLvl w:val="0"/>
    </w:pPr>
    <w:rPr>
      <w:rFonts w:ascii="Overpass" w:hAnsi="Overpass" w:cs="Noto Sans"/>
      <w:b/>
      <w:bCs/>
      <w:color w:val="1E2DBE"/>
      <w:sz w:val="36"/>
      <w:szCs w:val="18"/>
      <w:lang w:val="en-US" w:eastAsia="en-US"/>
    </w:rPr>
  </w:style>
  <w:style w:type="paragraph" w:customStyle="1" w:styleId="KeyTitle">
    <w:name w:val="KeyTitle"/>
    <w:basedOn w:val="NormalBody"/>
    <w:uiPriority w:val="5"/>
    <w:qFormat/>
    <w:rsid w:val="00042CD4"/>
    <w:pPr>
      <w:spacing w:before="0" w:after="0"/>
    </w:pPr>
    <w:rPr>
      <w:b/>
      <w:bCs/>
      <w:sz w:val="20"/>
      <w:szCs w:val="20"/>
    </w:rPr>
  </w:style>
  <w:style w:type="paragraph" w:customStyle="1" w:styleId="HeadingLevel2">
    <w:name w:val="HeadingLevel2"/>
    <w:basedOn w:val="MainTitle"/>
    <w:next w:val="NormalBody"/>
    <w:uiPriority w:val="4"/>
    <w:qFormat/>
    <w:rsid w:val="00883507"/>
    <w:pPr>
      <w:spacing w:before="240" w:after="120"/>
      <w:ind w:right="0"/>
      <w:outlineLvl w:val="1"/>
    </w:pPr>
    <w:rPr>
      <w:color w:val="1E2DBE" w:themeColor="accent1"/>
      <w:sz w:val="52"/>
      <w:szCs w:val="52"/>
    </w:rPr>
  </w:style>
  <w:style w:type="paragraph" w:customStyle="1" w:styleId="KeyList">
    <w:name w:val="KeyList"/>
    <w:basedOn w:val="NormalBody"/>
    <w:uiPriority w:val="6"/>
    <w:qFormat/>
    <w:rsid w:val="00D01DC5"/>
    <w:pPr>
      <w:numPr>
        <w:numId w:val="1"/>
      </w:numPr>
      <w:ind w:left="227" w:hanging="227"/>
    </w:pPr>
  </w:style>
  <w:style w:type="character" w:customStyle="1" w:styleId="Folio">
    <w:name w:val="Folio"/>
    <w:uiPriority w:val="29"/>
    <w:qFormat/>
    <w:rsid w:val="00BE2075"/>
    <w:rPr>
      <w:b w:val="0"/>
      <w:color w:val="1E2DBE"/>
      <w:sz w:val="24"/>
      <w:szCs w:val="24"/>
    </w:rPr>
  </w:style>
  <w:style w:type="paragraph" w:styleId="Tekstprzypisudolnego">
    <w:name w:val="footnote text"/>
    <w:basedOn w:val="NormalBody"/>
    <w:link w:val="TekstprzypisudolnegoZnak"/>
    <w:uiPriority w:val="25"/>
    <w:rsid w:val="00D1107C"/>
    <w:pPr>
      <w:spacing w:before="0" w:after="60"/>
      <w:ind w:left="227" w:hanging="227"/>
    </w:pPr>
    <w:rPr>
      <w:sz w:val="14"/>
      <w:szCs w:val="20"/>
    </w:rPr>
  </w:style>
  <w:style w:type="character" w:customStyle="1" w:styleId="TekstprzypisudolnegoZnak">
    <w:name w:val="Tekst przypisu dolnego Znak"/>
    <w:link w:val="Tekstprzypisudolnego"/>
    <w:uiPriority w:val="25"/>
    <w:rsid w:val="00263F35"/>
    <w:rPr>
      <w:rFonts w:ascii="Noto Sans" w:hAnsi="Noto Sans" w:cs="Noto Sans"/>
      <w:sz w:val="14"/>
      <w:szCs w:val="20"/>
      <w:lang w:val="en-GB"/>
    </w:rPr>
  </w:style>
  <w:style w:type="character" w:styleId="Odwoanieprzypisudolnego">
    <w:name w:val="footnote reference"/>
    <w:uiPriority w:val="25"/>
    <w:rsid w:val="0090398D"/>
    <w:rPr>
      <w:vertAlign w:val="superscript"/>
    </w:rPr>
  </w:style>
  <w:style w:type="paragraph" w:customStyle="1" w:styleId="QuoteText">
    <w:name w:val="QuoteText"/>
    <w:basedOn w:val="MainTitle"/>
    <w:uiPriority w:val="14"/>
    <w:qFormat/>
    <w:rsid w:val="00601E8F"/>
    <w:pPr>
      <w:spacing w:line="264" w:lineRule="auto"/>
      <w:ind w:right="0"/>
      <w:outlineLvl w:val="9"/>
    </w:pPr>
    <w:rPr>
      <w:rFonts w:ascii="Overpass Light" w:hAnsi="Overpass Light"/>
      <w:b w:val="0"/>
      <w:bCs w:val="0"/>
      <w:sz w:val="32"/>
      <w:szCs w:val="32"/>
    </w:rPr>
  </w:style>
  <w:style w:type="paragraph" w:customStyle="1" w:styleId="QuoteDescription">
    <w:name w:val="QuoteDescription"/>
    <w:basedOn w:val="NormalBody"/>
    <w:uiPriority w:val="15"/>
    <w:qFormat/>
    <w:rsid w:val="00D01DC5"/>
    <w:pPr>
      <w:numPr>
        <w:numId w:val="5"/>
      </w:numPr>
      <w:spacing w:before="0" w:after="0"/>
      <w:ind w:left="227" w:hanging="227"/>
    </w:pPr>
    <w:rPr>
      <w:color w:val="1E2DBE"/>
    </w:rPr>
  </w:style>
  <w:style w:type="paragraph" w:styleId="Akapitzlist">
    <w:name w:val="List Paragraph"/>
    <w:basedOn w:val="Normalny"/>
    <w:uiPriority w:val="34"/>
    <w:semiHidden/>
    <w:qFormat/>
    <w:rsid w:val="00800259"/>
    <w:pPr>
      <w:ind w:left="720"/>
      <w:contextualSpacing/>
    </w:pPr>
  </w:style>
  <w:style w:type="paragraph" w:customStyle="1" w:styleId="RunningTitleAutomatic">
    <w:name w:val="RunningTitle(Automatic)"/>
    <w:basedOn w:val="NormalBody"/>
    <w:uiPriority w:val="26"/>
    <w:qFormat/>
    <w:rsid w:val="004E2BE0"/>
    <w:pPr>
      <w:spacing w:before="0" w:after="0"/>
      <w:ind w:left="227"/>
    </w:pPr>
    <w:rPr>
      <w:rFonts w:ascii="Overpass Light" w:hAnsi="Overpass Light"/>
      <w:noProof/>
      <w:color w:val="1E2DBE"/>
    </w:rPr>
  </w:style>
  <w:style w:type="paragraph" w:customStyle="1" w:styleId="MainSubTitle">
    <w:name w:val="MainSubTitle"/>
    <w:basedOn w:val="MainTitle"/>
    <w:next w:val="NormalBody"/>
    <w:uiPriority w:val="2"/>
    <w:qFormat/>
    <w:rsid w:val="00515BC3"/>
    <w:rPr>
      <w:rFonts w:ascii="Overpass Light" w:hAnsi="Overpass Light"/>
      <w:b w:val="0"/>
      <w:bCs w:val="0"/>
    </w:rPr>
  </w:style>
  <w:style w:type="paragraph" w:customStyle="1" w:styleId="Line">
    <w:name w:val="Line"/>
    <w:basedOn w:val="NormalBody"/>
    <w:next w:val="NormalBody"/>
    <w:uiPriority w:val="3"/>
    <w:qFormat/>
    <w:rsid w:val="00C92D49"/>
    <w:pPr>
      <w:pBdr>
        <w:bottom w:val="single" w:sz="8" w:space="1" w:color="1E2DBE"/>
      </w:pBdr>
      <w:spacing w:before="0" w:after="360"/>
    </w:pPr>
    <w:rPr>
      <w:sz w:val="12"/>
      <w:szCs w:val="12"/>
      <w:lang w:val="en-US"/>
    </w:rPr>
  </w:style>
  <w:style w:type="paragraph" w:customStyle="1" w:styleId="NormalBodyIndent">
    <w:name w:val="NormalBodyIndent"/>
    <w:basedOn w:val="NormalBody"/>
    <w:next w:val="NormalBody"/>
    <w:uiPriority w:val="9"/>
    <w:qFormat/>
    <w:rsid w:val="00FE009C"/>
    <w:pPr>
      <w:spacing w:before="0" w:after="0"/>
      <w:ind w:left="227"/>
    </w:pPr>
  </w:style>
  <w:style w:type="paragraph" w:customStyle="1" w:styleId="ListNum1">
    <w:name w:val="ListNum1"/>
    <w:basedOn w:val="NormalBody"/>
    <w:uiPriority w:val="12"/>
    <w:qFormat/>
    <w:rsid w:val="00FE009C"/>
    <w:pPr>
      <w:numPr>
        <w:numId w:val="6"/>
      </w:numPr>
      <w:spacing w:before="0" w:after="0"/>
    </w:pPr>
  </w:style>
  <w:style w:type="paragraph" w:customStyle="1" w:styleId="ListNum2">
    <w:name w:val="ListNum2"/>
    <w:basedOn w:val="NormalBody"/>
    <w:uiPriority w:val="12"/>
    <w:qFormat/>
    <w:rsid w:val="00FE009C"/>
    <w:pPr>
      <w:numPr>
        <w:ilvl w:val="1"/>
        <w:numId w:val="6"/>
      </w:numPr>
      <w:spacing w:before="0" w:after="0"/>
    </w:pPr>
  </w:style>
  <w:style w:type="numbering" w:customStyle="1" w:styleId="ListNumILO">
    <w:name w:val="ListNumILO"/>
    <w:basedOn w:val="Bezlisty"/>
    <w:uiPriority w:val="99"/>
    <w:rsid w:val="00150A54"/>
    <w:pPr>
      <w:numPr>
        <w:numId w:val="6"/>
      </w:numPr>
    </w:pPr>
  </w:style>
  <w:style w:type="paragraph" w:customStyle="1" w:styleId="PictureCaption">
    <w:name w:val="PictureCaption"/>
    <w:basedOn w:val="NormalBody"/>
    <w:uiPriority w:val="18"/>
    <w:qFormat/>
    <w:rsid w:val="00A2748B"/>
    <w:pPr>
      <w:spacing w:before="0" w:after="0"/>
    </w:pPr>
    <w:rPr>
      <w:sz w:val="15"/>
      <w:szCs w:val="15"/>
    </w:rPr>
  </w:style>
  <w:style w:type="paragraph" w:customStyle="1" w:styleId="PicturePlace">
    <w:name w:val="PicturePlace"/>
    <w:basedOn w:val="NormalBody"/>
    <w:uiPriority w:val="18"/>
    <w:qFormat/>
    <w:rsid w:val="00936FF5"/>
    <w:pPr>
      <w:keepNext/>
      <w:spacing w:after="0"/>
      <w:jc w:val="center"/>
    </w:pPr>
  </w:style>
  <w:style w:type="paragraph" w:customStyle="1" w:styleId="Copyright">
    <w:name w:val="Copyright"/>
    <w:basedOn w:val="NormalBody"/>
    <w:uiPriority w:val="22"/>
    <w:qFormat/>
    <w:rsid w:val="004E2BE0"/>
    <w:pPr>
      <w:spacing w:before="0" w:after="0"/>
      <w:jc w:val="right"/>
    </w:pPr>
    <w:rPr>
      <w:sz w:val="14"/>
      <w:szCs w:val="12"/>
    </w:rPr>
  </w:style>
  <w:style w:type="paragraph" w:customStyle="1" w:styleId="ContactDetail">
    <w:name w:val="ContactDetail"/>
    <w:basedOn w:val="NormalBody"/>
    <w:uiPriority w:val="21"/>
    <w:qFormat/>
    <w:rsid w:val="004E2BE0"/>
    <w:pPr>
      <w:spacing w:before="0" w:after="0"/>
    </w:pPr>
    <w:rPr>
      <w:sz w:val="15"/>
      <w:szCs w:val="15"/>
    </w:rPr>
  </w:style>
  <w:style w:type="table" w:customStyle="1" w:styleId="ILOTable">
    <w:name w:val="ILOTable"/>
    <w:basedOn w:val="Standardowy"/>
    <w:uiPriority w:val="99"/>
    <w:rsid w:val="002D70F5"/>
    <w:rPr>
      <w:rFonts w:ascii="Noto Sans" w:hAnsi="Noto Sans"/>
      <w:sz w:val="18"/>
    </w:rPr>
    <w:tblPr>
      <w:tblStyleRowBandSize w:val="1"/>
      <w:tblBorders>
        <w:top w:val="single" w:sz="2" w:space="0" w:color="1E2DBE"/>
        <w:left w:val="single" w:sz="2" w:space="0" w:color="1E2DBE"/>
        <w:bottom w:val="single" w:sz="2" w:space="0" w:color="1E2DBE"/>
        <w:right w:val="single" w:sz="2" w:space="0" w:color="1E2DBE"/>
        <w:insideH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table" w:styleId="Tabelasiatki4akcent2">
    <w:name w:val="Grid Table 4 Accent 2"/>
    <w:basedOn w:val="Standardowy"/>
    <w:uiPriority w:val="49"/>
    <w:rsid w:val="00FF7AE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TableText">
    <w:name w:val="TableText"/>
    <w:basedOn w:val="NormalBody"/>
    <w:uiPriority w:val="17"/>
    <w:qFormat/>
    <w:rsid w:val="00A3456C"/>
    <w:pPr>
      <w:spacing w:before="0" w:after="0"/>
    </w:pPr>
    <w:rPr>
      <w:sz w:val="14"/>
    </w:rPr>
  </w:style>
  <w:style w:type="paragraph" w:customStyle="1" w:styleId="TableBoxTitle">
    <w:name w:val="TableBoxTitle"/>
    <w:basedOn w:val="NormalBody"/>
    <w:next w:val="NormalBody"/>
    <w:uiPriority w:val="17"/>
    <w:qFormat/>
    <w:rsid w:val="005B2C89"/>
    <w:pPr>
      <w:keepNext/>
      <w:numPr>
        <w:numId w:val="10"/>
      </w:numPr>
      <w:ind w:left="227" w:hanging="227"/>
    </w:pPr>
    <w:rPr>
      <w:b/>
      <w:bCs/>
      <w:color w:val="1E2DBE"/>
    </w:rPr>
  </w:style>
  <w:style w:type="character" w:styleId="Hipercze">
    <w:name w:val="Hyperlink"/>
    <w:uiPriority w:val="23"/>
    <w:unhideWhenUsed/>
    <w:rsid w:val="00A370B4"/>
    <w:rPr>
      <w:color w:val="1E2DBE"/>
      <w:u w:val="single"/>
    </w:rPr>
  </w:style>
  <w:style w:type="character" w:customStyle="1" w:styleId="Mentionnonrsolue1">
    <w:name w:val="Mention non résolue1"/>
    <w:uiPriority w:val="99"/>
    <w:semiHidden/>
    <w:unhideWhenUsed/>
    <w:rsid w:val="0063433F"/>
    <w:rPr>
      <w:color w:val="605E5C"/>
      <w:shd w:val="clear" w:color="auto" w:fill="E1DFDD"/>
    </w:rPr>
  </w:style>
  <w:style w:type="paragraph" w:customStyle="1" w:styleId="LineFootnote">
    <w:name w:val="LineFootnote"/>
    <w:basedOn w:val="NormalBody"/>
    <w:next w:val="Tekstprzypisudolnego"/>
    <w:uiPriority w:val="28"/>
    <w:semiHidden/>
    <w:qFormat/>
    <w:rsid w:val="009717DA"/>
    <w:pPr>
      <w:pBdr>
        <w:bottom w:val="single" w:sz="8" w:space="0" w:color="1E2DBE"/>
      </w:pBdr>
      <w:spacing w:after="60"/>
      <w:ind w:right="9921"/>
    </w:pPr>
  </w:style>
  <w:style w:type="paragraph" w:customStyle="1" w:styleId="DocumentEndParagraph">
    <w:name w:val="DocumentEndParagraph"/>
    <w:basedOn w:val="NormalBody"/>
    <w:uiPriority w:val="29"/>
    <w:semiHidden/>
    <w:qFormat/>
    <w:rsid w:val="00DF792D"/>
    <w:pPr>
      <w:spacing w:before="0" w:after="0"/>
    </w:pPr>
    <w:rPr>
      <w:sz w:val="6"/>
    </w:rPr>
  </w:style>
  <w:style w:type="numbering" w:customStyle="1" w:styleId="ListNoNumILO">
    <w:name w:val="ListNoNumILO"/>
    <w:basedOn w:val="Bezlisty"/>
    <w:uiPriority w:val="99"/>
    <w:rsid w:val="002C28DB"/>
    <w:pPr>
      <w:numPr>
        <w:numId w:val="12"/>
      </w:numPr>
    </w:pPr>
  </w:style>
  <w:style w:type="paragraph" w:customStyle="1" w:styleId="DocumentType">
    <w:name w:val="DocumentType"/>
    <w:basedOn w:val="MainTitle"/>
    <w:next w:val="NormalBody"/>
    <w:qFormat/>
    <w:rsid w:val="00D01DC5"/>
    <w:pPr>
      <w:numPr>
        <w:numId w:val="15"/>
      </w:numPr>
      <w:spacing w:before="120" w:after="1080"/>
      <w:ind w:left="340" w:right="0" w:hanging="340"/>
    </w:pPr>
    <w:rPr>
      <w:bCs w:val="0"/>
      <w:color w:val="FFFFFF"/>
      <w:spacing w:val="-16"/>
      <w:sz w:val="60"/>
      <w:szCs w:val="60"/>
      <w:lang w:val="en-GB"/>
    </w:rPr>
  </w:style>
  <w:style w:type="paragraph" w:customStyle="1" w:styleId="ContactDetailTitle">
    <w:name w:val="ContactDetailTitle"/>
    <w:basedOn w:val="NormalBody"/>
    <w:uiPriority w:val="20"/>
    <w:qFormat/>
    <w:rsid w:val="004E2BE0"/>
    <w:pPr>
      <w:spacing w:before="0" w:after="0"/>
    </w:pPr>
    <w:rPr>
      <w:b/>
      <w:bCs/>
    </w:rPr>
  </w:style>
  <w:style w:type="paragraph" w:customStyle="1" w:styleId="HeadingLevel3">
    <w:name w:val="HeadingLevel3"/>
    <w:basedOn w:val="MainTitle"/>
    <w:uiPriority w:val="4"/>
    <w:qFormat/>
    <w:rsid w:val="00883507"/>
    <w:pPr>
      <w:spacing w:before="480" w:after="120"/>
      <w:ind w:right="0"/>
      <w:outlineLvl w:val="2"/>
    </w:pPr>
    <w:rPr>
      <w:sz w:val="28"/>
      <w:szCs w:val="28"/>
    </w:rPr>
  </w:style>
  <w:style w:type="paragraph" w:customStyle="1" w:styleId="HeadingLevel4">
    <w:name w:val="HeadingLevel4"/>
    <w:basedOn w:val="MainTitle"/>
    <w:next w:val="NormalBody"/>
    <w:uiPriority w:val="4"/>
    <w:qFormat/>
    <w:rsid w:val="00D01DC5"/>
    <w:pPr>
      <w:spacing w:before="240" w:after="120"/>
      <w:ind w:right="0"/>
      <w:outlineLvl w:val="3"/>
    </w:pPr>
    <w:rPr>
      <w:color w:val="230050"/>
      <w:sz w:val="22"/>
      <w:szCs w:val="20"/>
    </w:rPr>
  </w:style>
  <w:style w:type="character" w:styleId="Odwoaniedokomentarza">
    <w:name w:val="annotation reference"/>
    <w:uiPriority w:val="99"/>
    <w:semiHidden/>
    <w:unhideWhenUsed/>
    <w:rsid w:val="009215C9"/>
    <w:rPr>
      <w:sz w:val="16"/>
      <w:szCs w:val="16"/>
    </w:rPr>
  </w:style>
  <w:style w:type="paragraph" w:styleId="Tekstkomentarza">
    <w:name w:val="annotation text"/>
    <w:basedOn w:val="Normalny"/>
    <w:link w:val="TekstkomentarzaZnak"/>
    <w:uiPriority w:val="99"/>
    <w:semiHidden/>
    <w:unhideWhenUsed/>
    <w:rsid w:val="009215C9"/>
    <w:pPr>
      <w:spacing w:line="240" w:lineRule="auto"/>
    </w:pPr>
    <w:rPr>
      <w:sz w:val="20"/>
      <w:szCs w:val="20"/>
    </w:rPr>
  </w:style>
  <w:style w:type="character" w:customStyle="1" w:styleId="TekstkomentarzaZnak">
    <w:name w:val="Tekst komentarza Znak"/>
    <w:link w:val="Tekstkomentarza"/>
    <w:uiPriority w:val="99"/>
    <w:semiHidden/>
    <w:rsid w:val="009215C9"/>
    <w:rPr>
      <w:rFonts w:ascii="Noto Sans" w:hAnsi="Noto Sans" w:cs="Noto Sans"/>
      <w:sz w:val="20"/>
      <w:szCs w:val="20"/>
      <w:lang w:val="en-GB"/>
    </w:rPr>
  </w:style>
  <w:style w:type="paragraph" w:styleId="Tematkomentarza">
    <w:name w:val="annotation subject"/>
    <w:basedOn w:val="Tekstkomentarza"/>
    <w:next w:val="Tekstkomentarza"/>
    <w:link w:val="TematkomentarzaZnak"/>
    <w:uiPriority w:val="99"/>
    <w:semiHidden/>
    <w:unhideWhenUsed/>
    <w:rsid w:val="009215C9"/>
    <w:rPr>
      <w:b/>
      <w:bCs/>
    </w:rPr>
  </w:style>
  <w:style w:type="character" w:customStyle="1" w:styleId="TematkomentarzaZnak">
    <w:name w:val="Temat komentarza Znak"/>
    <w:link w:val="Tematkomentarza"/>
    <w:uiPriority w:val="99"/>
    <w:semiHidden/>
    <w:rsid w:val="009215C9"/>
    <w:rPr>
      <w:rFonts w:ascii="Noto Sans" w:hAnsi="Noto Sans" w:cs="Noto Sans"/>
      <w:b/>
      <w:bCs/>
      <w:sz w:val="20"/>
      <w:szCs w:val="20"/>
      <w:lang w:val="en-GB"/>
    </w:rPr>
  </w:style>
  <w:style w:type="paragraph" w:styleId="Tekstdymka">
    <w:name w:val="Balloon Text"/>
    <w:basedOn w:val="Normalny"/>
    <w:link w:val="TekstdymkaZnak"/>
    <w:uiPriority w:val="99"/>
    <w:semiHidden/>
    <w:unhideWhenUsed/>
    <w:rsid w:val="009215C9"/>
    <w:pPr>
      <w:spacing w:before="0" w:after="0" w:line="240" w:lineRule="auto"/>
    </w:pPr>
    <w:rPr>
      <w:rFonts w:ascii="Segoe UI" w:hAnsi="Segoe UI" w:cs="Segoe UI"/>
    </w:rPr>
  </w:style>
  <w:style w:type="character" w:customStyle="1" w:styleId="TekstdymkaZnak">
    <w:name w:val="Tekst dymka Znak"/>
    <w:link w:val="Tekstdymka"/>
    <w:uiPriority w:val="99"/>
    <w:semiHidden/>
    <w:rsid w:val="009215C9"/>
    <w:rPr>
      <w:rFonts w:ascii="Segoe UI" w:hAnsi="Segoe UI" w:cs="Segoe UI"/>
      <w:sz w:val="18"/>
      <w:szCs w:val="18"/>
      <w:lang w:val="en-GB"/>
    </w:rPr>
  </w:style>
  <w:style w:type="character" w:customStyle="1" w:styleId="UnresolvedMention">
    <w:name w:val="Unresolved Mention"/>
    <w:basedOn w:val="Domylnaczcionkaakapitu"/>
    <w:uiPriority w:val="99"/>
    <w:semiHidden/>
    <w:unhideWhenUsed/>
    <w:rsid w:val="00D27F92"/>
    <w:rPr>
      <w:color w:val="605E5C"/>
      <w:shd w:val="clear" w:color="auto" w:fill="E1DFDD"/>
    </w:rPr>
  </w:style>
  <w:style w:type="character" w:customStyle="1" w:styleId="Nagwek3Znak">
    <w:name w:val="Nagłówek 3 Znak"/>
    <w:basedOn w:val="Domylnaczcionkaakapitu"/>
    <w:link w:val="Nagwek3"/>
    <w:uiPriority w:val="9"/>
    <w:rsid w:val="002A11FC"/>
    <w:rPr>
      <w:rFonts w:ascii="Times New Roman" w:eastAsia="Times New Roman" w:hAnsi="Times New Roman" w:cs="Times New Roman"/>
      <w:b/>
      <w:bCs/>
      <w:sz w:val="27"/>
      <w:szCs w:val="27"/>
      <w:lang w:val="pl-PL" w:eastAsia="pl-PL"/>
    </w:rPr>
  </w:style>
  <w:style w:type="paragraph" w:styleId="Poprawka">
    <w:name w:val="Revision"/>
    <w:hidden/>
    <w:uiPriority w:val="99"/>
    <w:semiHidden/>
    <w:rsid w:val="005B045F"/>
    <w:rPr>
      <w:rFonts w:ascii="Lato" w:eastAsiaTheme="minorHAnsi" w:hAnsi="Lato" w:cs="Lato"/>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089572">
      <w:bodyDiv w:val="1"/>
      <w:marLeft w:val="0"/>
      <w:marRight w:val="0"/>
      <w:marTop w:val="0"/>
      <w:marBottom w:val="0"/>
      <w:divBdr>
        <w:top w:val="none" w:sz="0" w:space="0" w:color="auto"/>
        <w:left w:val="none" w:sz="0" w:space="0" w:color="auto"/>
        <w:bottom w:val="none" w:sz="0" w:space="0" w:color="auto"/>
        <w:right w:val="none" w:sz="0" w:space="0" w:color="auto"/>
      </w:divBdr>
    </w:div>
    <w:div w:id="740178850">
      <w:bodyDiv w:val="1"/>
      <w:marLeft w:val="0"/>
      <w:marRight w:val="0"/>
      <w:marTop w:val="0"/>
      <w:marBottom w:val="0"/>
      <w:divBdr>
        <w:top w:val="none" w:sz="0" w:space="0" w:color="auto"/>
        <w:left w:val="none" w:sz="0" w:space="0" w:color="auto"/>
        <w:bottom w:val="none" w:sz="0" w:space="0" w:color="auto"/>
        <w:right w:val="none" w:sz="0" w:space="0" w:color="auto"/>
      </w:divBdr>
    </w:div>
    <w:div w:id="1409159076">
      <w:bodyDiv w:val="1"/>
      <w:marLeft w:val="0"/>
      <w:marRight w:val="0"/>
      <w:marTop w:val="0"/>
      <w:marBottom w:val="0"/>
      <w:divBdr>
        <w:top w:val="none" w:sz="0" w:space="0" w:color="auto"/>
        <w:left w:val="none" w:sz="0" w:space="0" w:color="auto"/>
        <w:bottom w:val="none" w:sz="0" w:space="0" w:color="auto"/>
        <w:right w:val="none" w:sz="0" w:space="0" w:color="auto"/>
      </w:divBdr>
    </w:div>
    <w:div w:id="18078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01.safelinks.protection.outlook.com/?url=https%3A%2F%2Fcreativecommons.org%2Flicences%2Fby%2F4.0%2F&amp;data=05%7C02%7Cubenova%40ilo.org%7C63184589a7c6438271d608de0bf449e1%7Cd49b07ca23024e7cb2cbe12127852850%7C0%7C0%7C638961340983460821%7CUnknown%7CTWFpbGZsb3d8eyJFbXB0eU1hcGkiOnRydWUsIlYiOiIwLjAuMDAwMCIsIlAiOiJXaW4zMiIsIkFOIjoiTWFpbCIsIldUIjoyfQ%3D%3D%7C0%7C%7C%7C&amp;sdata=brb2ECyyup9nLPUgwSyAblo06vCH%2FssTsZrMEVhGX7Y%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enova\Downloads\Policy%20Brief%20(MS%20Word)%20English.dotx" TargetMode="External"/></Relationships>
</file>

<file path=word/theme/theme1.xml><?xml version="1.0" encoding="utf-8"?>
<a:theme xmlns:a="http://schemas.openxmlformats.org/drawingml/2006/main" name="ThemeILO">
  <a:themeElements>
    <a:clrScheme name="ILO Jan 2020">
      <a:dk1>
        <a:srgbClr val="230050"/>
      </a:dk1>
      <a:lt1>
        <a:sysClr val="window" lastClr="FFFFFF"/>
      </a:lt1>
      <a:dk2>
        <a:srgbClr val="000000"/>
      </a:dk2>
      <a:lt2>
        <a:srgbClr val="F8FCFE"/>
      </a:lt2>
      <a:accent1>
        <a:srgbClr val="1E2DBE"/>
      </a:accent1>
      <a:accent2>
        <a:srgbClr val="FA3C4B"/>
      </a:accent2>
      <a:accent3>
        <a:srgbClr val="FFCD2D"/>
      </a:accent3>
      <a:accent4>
        <a:srgbClr val="960A55"/>
      </a:accent4>
      <a:accent5>
        <a:srgbClr val="05D2D2"/>
      </a:accent5>
      <a:accent6>
        <a:srgbClr val="8CE164"/>
      </a:accent6>
      <a:hlink>
        <a:srgbClr val="230050"/>
      </a:hlink>
      <a:folHlink>
        <a:srgbClr val="2300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ILO" id="{B957A9F2-B6CA-45BB-A80F-3D7B6C28D25A}" vid="{B74F2439-0BDD-4EBD-9A04-6CB6E0AC3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f9ac08-cad0-4069-9cc9-ad6597f5f3a5">
      <Terms xmlns="http://schemas.microsoft.com/office/infopath/2007/PartnerControls"/>
    </lcf76f155ced4ddcb4097134ff3c332f>
    <TaxCatchAll xmlns="2118e9f4-83e0-430e-8618-3d02343c48a9" xsi:nil="true"/>
    <ArchiverLinkFileType xmlns="18f9ac08-cad0-4069-9cc9-ad6597f5f3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908A712D7AA418D95BFCC0ECE245F" ma:contentTypeVersion="22" ma:contentTypeDescription="Create a new document." ma:contentTypeScope="" ma:versionID="b7310b5dd3f56cb1188847ff5e92a2d9">
  <xsd:schema xmlns:xsd="http://www.w3.org/2001/XMLSchema" xmlns:xs="http://www.w3.org/2001/XMLSchema" xmlns:p="http://schemas.microsoft.com/office/2006/metadata/properties" xmlns:ns2="18f9ac08-cad0-4069-9cc9-ad6597f5f3a5" xmlns:ns3="8f68b5b3-e33a-4795-8620-9e287973ee67" xmlns:ns4="2118e9f4-83e0-430e-8618-3d02343c48a9" targetNamespace="http://schemas.microsoft.com/office/2006/metadata/properties" ma:root="true" ma:fieldsID="2bb32fbbaa0d54544c8d92079b6959a6" ns2:_="" ns3:_="" ns4:_="">
    <xsd:import namespace="18f9ac08-cad0-4069-9cc9-ad6597f5f3a5"/>
    <xsd:import namespace="8f68b5b3-e33a-4795-8620-9e287973ee67"/>
    <xsd:import namespace="2118e9f4-83e0-430e-8618-3d02343c4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9ac08-cad0-4069-9cc9-ad6597f5f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32b82f-ee1f-4246-9d44-c1f8cdfbe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8b5b3-e33a-4795-8620-9e287973ee6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8e9f4-83e0-430e-8618-3d02343c48a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99bea5c-8ec8-4b88-9319-e51098983805}" ma:internalName="TaxCatchAll" ma:showField="CatchAllData" ma:web="8f68b5b3-e33a-4795-8620-9e287973e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215F1-D02D-4D13-BC6D-28647A9868D7}">
  <ds:schemaRefs>
    <ds:schemaRef ds:uri="http://schemas.microsoft.com/office/2006/metadata/properties"/>
    <ds:schemaRef ds:uri="http://schemas.microsoft.com/office/infopath/2007/PartnerControls"/>
    <ds:schemaRef ds:uri="18f9ac08-cad0-4069-9cc9-ad6597f5f3a5"/>
    <ds:schemaRef ds:uri="2118e9f4-83e0-430e-8618-3d02343c48a9"/>
  </ds:schemaRefs>
</ds:datastoreItem>
</file>

<file path=customXml/itemProps2.xml><?xml version="1.0" encoding="utf-8"?>
<ds:datastoreItem xmlns:ds="http://schemas.openxmlformats.org/officeDocument/2006/customXml" ds:itemID="{7EBBD4D3-FBCA-4527-8B7F-C35C0DB3611E}">
  <ds:schemaRefs>
    <ds:schemaRef ds:uri="http://schemas.microsoft.com/sharepoint/v3/contenttype/forms"/>
  </ds:schemaRefs>
</ds:datastoreItem>
</file>

<file path=customXml/itemProps3.xml><?xml version="1.0" encoding="utf-8"?>
<ds:datastoreItem xmlns:ds="http://schemas.openxmlformats.org/officeDocument/2006/customXml" ds:itemID="{BD4BD0ED-E2A8-4D79-8919-DC9FE1172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9ac08-cad0-4069-9cc9-ad6597f5f3a5"/>
    <ds:schemaRef ds:uri="8f68b5b3-e33a-4795-8620-9e287973ee67"/>
    <ds:schemaRef ds:uri="2118e9f4-83e0-430e-8618-3d02343c4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818CC-27C7-4889-B9DB-AD8DEC6D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Brief (MS Word) English</Template>
  <TotalTime>1</TotalTime>
  <Pages>4</Pages>
  <Words>2633</Words>
  <Characters>15802</Characters>
  <Application>Microsoft Office Word</Application>
  <DocSecurity>0</DocSecurity>
  <Lines>131</Lines>
  <Paragraphs>36</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Ubenova, Raya</dc:creator>
  <cp:keywords/>
  <dc:description/>
  <cp:lastModifiedBy>Konto Microsoft</cp:lastModifiedBy>
  <cp:revision>3</cp:revision>
  <cp:lastPrinted>2026-04-14T15:15:00Z</cp:lastPrinted>
  <dcterms:created xsi:type="dcterms:W3CDTF">2026-04-16T13:24:00Z</dcterms:created>
  <dcterms:modified xsi:type="dcterms:W3CDTF">2026-04-16T14:23:00Z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0x010100B23908A712D7AA418D95BFCC0ECE245F</vt:lpwstr>
  </property>
  <property fmtid="{D5CDD505-2E9C-101B-9397-08002B2CF9AE}" pid="3" name="MediaServiceImageTags">
    <vt:lpwstr/>
  </property>
</Properties>
</file>